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drawings/drawing1.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8.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9.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B2248" w14:textId="57E67374" w:rsidR="00580735" w:rsidRPr="0035043B" w:rsidRDefault="00580735" w:rsidP="00580735">
      <w:pPr>
        <w:tabs>
          <w:tab w:val="left" w:pos="2730"/>
        </w:tabs>
        <w:spacing w:before="100" w:beforeAutospacing="1" w:after="0"/>
        <w:ind w:right="-46"/>
        <w:jc w:val="center"/>
        <w:rPr>
          <w:rFonts w:ascii="Times New Roman" w:hAnsi="Times New Roman" w:cs="Times New Roman"/>
          <w:b/>
          <w:sz w:val="24"/>
          <w:szCs w:val="24"/>
        </w:rPr>
      </w:pPr>
      <w:r w:rsidRPr="0035043B">
        <w:rPr>
          <w:noProof/>
          <w:lang w:val="en-US"/>
        </w:rPr>
        <w:drawing>
          <wp:anchor distT="0" distB="0" distL="114300" distR="114300" simplePos="0" relativeHeight="251817984" behindDoc="1" locked="0" layoutInCell="1" allowOverlap="1" wp14:anchorId="2AC3474F" wp14:editId="20936450">
            <wp:simplePos x="0" y="0"/>
            <wp:positionH relativeFrom="margin">
              <wp:posOffset>-447675</wp:posOffset>
            </wp:positionH>
            <wp:positionV relativeFrom="paragraph">
              <wp:posOffset>2540</wp:posOffset>
            </wp:positionV>
            <wp:extent cx="6677025" cy="1285875"/>
            <wp:effectExtent l="0" t="0" r="9525" b="9525"/>
            <wp:wrapSquare wrapText="bothSides"/>
            <wp:docPr id="4" name="Picture 4" descr="cid:image001.jpg@01D4C9C9.A12A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C9C9.A12AE760"/>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b="9396"/>
                    <a:stretch/>
                  </pic:blipFill>
                  <pic:spPr bwMode="auto">
                    <a:xfrm>
                      <a:off x="0" y="0"/>
                      <a:ext cx="6677025" cy="1285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043B">
        <w:rPr>
          <w:rFonts w:ascii="Times New Roman" w:eastAsia="Times New Roman" w:hAnsi="Times New Roman" w:cs="Times New Roman"/>
          <w:b/>
          <w:bCs/>
          <w:color w:val="333333"/>
          <w:szCs w:val="32"/>
        </w:rPr>
        <w:t xml:space="preserve">DREJTORIA E PËRGJITHSHME E BORXHIT PUBLIK </w:t>
      </w:r>
    </w:p>
    <w:p w14:paraId="22DEE3EC" w14:textId="77777777" w:rsidR="00580735" w:rsidRPr="0035043B" w:rsidRDefault="00580735" w:rsidP="00580735">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5BDA9E50" w14:textId="77777777" w:rsidR="00A47106" w:rsidRPr="0035043B" w:rsidRDefault="00A47106"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6CF84B23" w14:textId="77777777" w:rsidR="00A47106" w:rsidRPr="0035043B" w:rsidRDefault="00A47106"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0C676305" w14:textId="77777777" w:rsidR="00A47106" w:rsidRDefault="00A47106"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3EE80261" w14:textId="77777777" w:rsidR="00C91F6E" w:rsidRPr="0035043B" w:rsidRDefault="00C91F6E"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754E8078" w14:textId="77777777" w:rsidR="00A47106" w:rsidRPr="0035043B" w:rsidRDefault="00A47106"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5FA36AA3" w14:textId="77777777" w:rsidR="00A47106" w:rsidRPr="0035043B" w:rsidRDefault="00A47106"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p>
    <w:p w14:paraId="1B3ED08D" w14:textId="77777777" w:rsidR="00F6252F" w:rsidRPr="0035043B" w:rsidRDefault="004B551A" w:rsidP="00FC2F2F">
      <w:pPr>
        <w:shd w:val="clear" w:color="auto" w:fill="FFFFFF" w:themeFill="background1"/>
        <w:autoSpaceDE w:val="0"/>
        <w:autoSpaceDN w:val="0"/>
        <w:adjustRightInd w:val="0"/>
        <w:spacing w:after="0" w:line="240" w:lineRule="auto"/>
        <w:ind w:right="-46"/>
        <w:rPr>
          <w:rFonts w:ascii="Cambria" w:eastAsia="Batang" w:hAnsi="Cambria" w:cs="Times New Roman"/>
          <w:b/>
          <w:noProof/>
          <w:color w:val="800000"/>
          <w:sz w:val="40"/>
          <w:szCs w:val="40"/>
          <w:lang w:eastAsia="ko-KR"/>
        </w:rPr>
      </w:pPr>
      <w:r w:rsidRPr="0035043B">
        <w:rPr>
          <w:rFonts w:ascii="Cambria" w:eastAsia="Batang" w:hAnsi="Cambria" w:cs="Times New Roman"/>
          <w:b/>
          <w:noProof/>
          <w:color w:val="800000"/>
          <w:sz w:val="40"/>
          <w:szCs w:val="40"/>
          <w:lang w:eastAsia="ko-KR"/>
        </w:rPr>
        <w:t xml:space="preserve">                          </w:t>
      </w:r>
      <w:r w:rsidR="002E0F5E" w:rsidRPr="0035043B">
        <w:rPr>
          <w:rFonts w:ascii="Cambria" w:eastAsia="Batang" w:hAnsi="Cambria" w:cs="Times New Roman"/>
          <w:b/>
          <w:noProof/>
          <w:color w:val="800000"/>
          <w:sz w:val="40"/>
          <w:szCs w:val="40"/>
          <w:lang w:eastAsia="ko-KR"/>
        </w:rPr>
        <w:t>___</w:t>
      </w:r>
      <w:r w:rsidR="00F6252F" w:rsidRPr="0035043B">
        <w:rPr>
          <w:rFonts w:ascii="Cambria" w:eastAsia="Batang" w:hAnsi="Cambria" w:cs="Times New Roman"/>
          <w:b/>
          <w:noProof/>
          <w:color w:val="800000"/>
          <w:sz w:val="40"/>
          <w:szCs w:val="40"/>
          <w:lang w:eastAsia="ko-KR"/>
        </w:rPr>
        <w:t>______________________</w:t>
      </w:r>
      <w:r w:rsidR="002E0F5E" w:rsidRPr="0035043B">
        <w:rPr>
          <w:rFonts w:ascii="Cambria" w:eastAsia="Batang" w:hAnsi="Cambria" w:cs="Times New Roman"/>
          <w:b/>
          <w:noProof/>
          <w:color w:val="800000"/>
          <w:sz w:val="40"/>
          <w:szCs w:val="40"/>
          <w:lang w:eastAsia="ko-KR"/>
        </w:rPr>
        <w:t>_____</w:t>
      </w:r>
    </w:p>
    <w:p w14:paraId="53D362D3" w14:textId="77777777" w:rsidR="0068427E" w:rsidRPr="0035043B" w:rsidRDefault="0068427E" w:rsidP="00FC2F2F">
      <w:pPr>
        <w:shd w:val="clear" w:color="auto" w:fill="FFFFFF" w:themeFill="background1"/>
        <w:autoSpaceDE w:val="0"/>
        <w:autoSpaceDN w:val="0"/>
        <w:adjustRightInd w:val="0"/>
        <w:spacing w:after="0" w:line="240" w:lineRule="auto"/>
        <w:ind w:right="-46"/>
        <w:jc w:val="center"/>
        <w:rPr>
          <w:rFonts w:ascii="Cambria" w:eastAsia="Batang" w:hAnsi="Cambria" w:cs="Times New Roman"/>
          <w:b/>
          <w:noProof/>
          <w:color w:val="800000"/>
          <w:sz w:val="32"/>
          <w:szCs w:val="32"/>
          <w:lang w:eastAsia="ko-KR"/>
        </w:rPr>
      </w:pPr>
    </w:p>
    <w:p w14:paraId="6F831BEE" w14:textId="77777777" w:rsidR="003E7C26" w:rsidRPr="0035043B" w:rsidRDefault="003E7C26" w:rsidP="00FC2F2F">
      <w:pPr>
        <w:shd w:val="clear" w:color="auto" w:fill="FFFFFF" w:themeFill="background1"/>
        <w:autoSpaceDE w:val="0"/>
        <w:autoSpaceDN w:val="0"/>
        <w:adjustRightInd w:val="0"/>
        <w:spacing w:after="0" w:line="240" w:lineRule="auto"/>
        <w:ind w:right="-46"/>
        <w:jc w:val="center"/>
        <w:rPr>
          <w:rFonts w:ascii="Cambria" w:eastAsia="Batang" w:hAnsi="Cambria" w:cs="Times New Roman"/>
          <w:b/>
          <w:noProof/>
          <w:sz w:val="40"/>
          <w:szCs w:val="40"/>
          <w:lang w:eastAsia="ko-KR"/>
        </w:rPr>
      </w:pPr>
      <w:r w:rsidRPr="0035043B">
        <w:rPr>
          <w:rFonts w:ascii="Cambria" w:eastAsia="Batang" w:hAnsi="Cambria" w:cs="Times New Roman"/>
          <w:b/>
          <w:noProof/>
          <w:sz w:val="40"/>
          <w:szCs w:val="40"/>
          <w:lang w:eastAsia="ko-KR"/>
        </w:rPr>
        <w:t>ANALIZ</w:t>
      </w:r>
      <w:r w:rsidR="0059355B" w:rsidRPr="0035043B">
        <w:rPr>
          <w:rFonts w:ascii="Cambria" w:eastAsia="Batang" w:hAnsi="Cambria" w:cs="Times New Roman"/>
          <w:b/>
          <w:noProof/>
          <w:sz w:val="40"/>
          <w:szCs w:val="40"/>
          <w:lang w:eastAsia="ko-KR"/>
        </w:rPr>
        <w:t>A</w:t>
      </w:r>
      <w:r w:rsidRPr="0035043B">
        <w:rPr>
          <w:rFonts w:ascii="Cambria" w:eastAsia="Batang" w:hAnsi="Cambria" w:cs="Times New Roman"/>
          <w:b/>
          <w:noProof/>
          <w:sz w:val="40"/>
          <w:szCs w:val="40"/>
          <w:lang w:eastAsia="ko-KR"/>
        </w:rPr>
        <w:t xml:space="preserve"> </w:t>
      </w:r>
    </w:p>
    <w:p w14:paraId="13D36D27" w14:textId="77777777" w:rsidR="003E7C26" w:rsidRPr="0035043B" w:rsidRDefault="003E7C26" w:rsidP="00FC2F2F">
      <w:pPr>
        <w:shd w:val="clear" w:color="auto" w:fill="FFFFFF" w:themeFill="background1"/>
        <w:autoSpaceDE w:val="0"/>
        <w:autoSpaceDN w:val="0"/>
        <w:adjustRightInd w:val="0"/>
        <w:spacing w:after="0" w:line="240" w:lineRule="auto"/>
        <w:ind w:right="-46"/>
        <w:jc w:val="center"/>
        <w:rPr>
          <w:rFonts w:ascii="Cambria" w:eastAsia="Batang" w:hAnsi="Cambria" w:cs="Times New Roman"/>
          <w:b/>
          <w:noProof/>
          <w:sz w:val="40"/>
          <w:szCs w:val="40"/>
          <w:lang w:eastAsia="ko-KR"/>
        </w:rPr>
      </w:pPr>
      <w:r w:rsidRPr="0035043B">
        <w:rPr>
          <w:rFonts w:ascii="Cambria" w:eastAsia="Batang" w:hAnsi="Cambria" w:cs="Times New Roman"/>
          <w:b/>
          <w:noProof/>
          <w:sz w:val="40"/>
          <w:szCs w:val="40"/>
          <w:lang w:eastAsia="ko-KR"/>
        </w:rPr>
        <w:t xml:space="preserve">E </w:t>
      </w:r>
    </w:p>
    <w:p w14:paraId="310F3607" w14:textId="77777777" w:rsidR="00F6252F" w:rsidRPr="0035043B" w:rsidRDefault="003E7C26" w:rsidP="00FC2F2F">
      <w:pPr>
        <w:shd w:val="clear" w:color="auto" w:fill="FFFFFF" w:themeFill="background1"/>
        <w:autoSpaceDE w:val="0"/>
        <w:autoSpaceDN w:val="0"/>
        <w:adjustRightInd w:val="0"/>
        <w:spacing w:after="0" w:line="240" w:lineRule="auto"/>
        <w:ind w:right="-46"/>
        <w:jc w:val="center"/>
        <w:rPr>
          <w:rFonts w:ascii="Cambria" w:eastAsia="Batang" w:hAnsi="Cambria" w:cs="Times New Roman"/>
          <w:b/>
          <w:noProof/>
          <w:sz w:val="40"/>
          <w:szCs w:val="40"/>
          <w:lang w:eastAsia="ko-KR"/>
        </w:rPr>
      </w:pPr>
      <w:r w:rsidRPr="0035043B">
        <w:rPr>
          <w:rFonts w:ascii="Cambria" w:eastAsia="Batang" w:hAnsi="Cambria" w:cs="Times New Roman"/>
          <w:b/>
          <w:noProof/>
          <w:sz w:val="40"/>
          <w:szCs w:val="40"/>
          <w:lang w:eastAsia="ko-KR"/>
        </w:rPr>
        <w:t>BORXHIT PUBLIK</w:t>
      </w:r>
    </w:p>
    <w:p w14:paraId="2F98819C" w14:textId="77777777" w:rsidR="00F6252F" w:rsidRPr="0035043B" w:rsidRDefault="00F6252F" w:rsidP="00FC2F2F">
      <w:pPr>
        <w:shd w:val="clear" w:color="auto" w:fill="FFFFFF" w:themeFill="background1"/>
        <w:autoSpaceDE w:val="0"/>
        <w:autoSpaceDN w:val="0"/>
        <w:adjustRightInd w:val="0"/>
        <w:spacing w:after="0" w:line="240" w:lineRule="auto"/>
        <w:ind w:right="-46"/>
        <w:jc w:val="center"/>
        <w:rPr>
          <w:rFonts w:ascii="Cambria" w:eastAsia="Batang" w:hAnsi="Cambria" w:cs="Times New Roman"/>
          <w:b/>
          <w:noProof/>
          <w:sz w:val="40"/>
          <w:szCs w:val="40"/>
          <w:lang w:eastAsia="ko-KR"/>
        </w:rPr>
      </w:pPr>
      <w:r w:rsidRPr="0035043B">
        <w:rPr>
          <w:rFonts w:ascii="Cambria" w:eastAsia="Batang" w:hAnsi="Cambria" w:cs="Times New Roman"/>
          <w:b/>
          <w:noProof/>
          <w:color w:val="800000"/>
          <w:sz w:val="40"/>
          <w:szCs w:val="40"/>
          <w:lang w:eastAsia="ko-KR"/>
        </w:rPr>
        <w:t>______________________________</w:t>
      </w:r>
    </w:p>
    <w:p w14:paraId="08B11A10" w14:textId="4E6617D5" w:rsidR="00F6252F" w:rsidRPr="0035043B" w:rsidRDefault="004308D6" w:rsidP="00FC2F2F">
      <w:pPr>
        <w:shd w:val="clear" w:color="auto" w:fill="FFFFFF" w:themeFill="background1"/>
        <w:autoSpaceDE w:val="0"/>
        <w:autoSpaceDN w:val="0"/>
        <w:adjustRightInd w:val="0"/>
        <w:spacing w:after="0" w:line="360" w:lineRule="auto"/>
        <w:ind w:right="-46"/>
        <w:jc w:val="center"/>
        <w:rPr>
          <w:rFonts w:ascii="Cambria" w:eastAsia="Batang" w:hAnsi="Cambria" w:cs="Times New Roman"/>
          <w:b/>
          <w:noProof/>
          <w:color w:val="C00000"/>
          <w:sz w:val="36"/>
          <w:szCs w:val="36"/>
          <w:lang w:eastAsia="ko-KR"/>
        </w:rPr>
      </w:pPr>
      <w:r w:rsidRPr="0035043B">
        <w:rPr>
          <w:rFonts w:ascii="Cambria" w:eastAsia="Batang" w:hAnsi="Cambria" w:cs="Times New Roman"/>
          <w:b/>
          <w:noProof/>
          <w:color w:val="C00000"/>
          <w:sz w:val="36"/>
          <w:szCs w:val="36"/>
          <w:lang w:eastAsia="ko-KR"/>
        </w:rPr>
        <w:t>(</w:t>
      </w:r>
      <w:r w:rsidR="00536470">
        <w:rPr>
          <w:rFonts w:ascii="Cambria" w:eastAsia="Batang" w:hAnsi="Cambria" w:cs="Times New Roman"/>
          <w:b/>
          <w:noProof/>
          <w:color w:val="C00000"/>
          <w:sz w:val="36"/>
          <w:szCs w:val="36"/>
          <w:lang w:eastAsia="ko-KR"/>
        </w:rPr>
        <w:t>Viti</w:t>
      </w:r>
      <w:r w:rsidR="00D42B07" w:rsidRPr="0035043B">
        <w:rPr>
          <w:rFonts w:ascii="Cambria" w:eastAsia="Batang" w:hAnsi="Cambria" w:cs="Times New Roman"/>
          <w:b/>
          <w:noProof/>
          <w:color w:val="C00000"/>
          <w:sz w:val="36"/>
          <w:szCs w:val="36"/>
          <w:lang w:eastAsia="ko-KR"/>
        </w:rPr>
        <w:t xml:space="preserve"> 202</w:t>
      </w:r>
      <w:r w:rsidR="00914381" w:rsidRPr="0035043B">
        <w:rPr>
          <w:rFonts w:ascii="Cambria" w:eastAsia="Batang" w:hAnsi="Cambria" w:cs="Times New Roman"/>
          <w:b/>
          <w:noProof/>
          <w:color w:val="C00000"/>
          <w:sz w:val="36"/>
          <w:szCs w:val="36"/>
          <w:lang w:eastAsia="ko-KR"/>
        </w:rPr>
        <w:t>2</w:t>
      </w:r>
      <w:r w:rsidRPr="0035043B">
        <w:rPr>
          <w:rFonts w:ascii="Cambria" w:eastAsia="Batang" w:hAnsi="Cambria" w:cs="Times New Roman"/>
          <w:b/>
          <w:noProof/>
          <w:color w:val="C00000"/>
          <w:sz w:val="36"/>
          <w:szCs w:val="36"/>
          <w:lang w:eastAsia="ko-KR"/>
        </w:rPr>
        <w:t>)</w:t>
      </w:r>
    </w:p>
    <w:p w14:paraId="0D4189DE" w14:textId="77777777" w:rsidR="004B551A" w:rsidRPr="0035043B" w:rsidRDefault="004B551A" w:rsidP="00FC2F2F">
      <w:pPr>
        <w:tabs>
          <w:tab w:val="left" w:pos="2730"/>
        </w:tabs>
        <w:spacing w:before="100" w:beforeAutospacing="1" w:after="0"/>
        <w:ind w:right="-46"/>
        <w:jc w:val="center"/>
        <w:rPr>
          <w:rFonts w:ascii="Times New Roman" w:hAnsi="Times New Roman" w:cs="Times New Roman"/>
          <w:b/>
          <w:sz w:val="24"/>
          <w:szCs w:val="24"/>
        </w:rPr>
      </w:pPr>
    </w:p>
    <w:p w14:paraId="2652CA04" w14:textId="77777777" w:rsidR="004B551A" w:rsidRPr="0035043B" w:rsidRDefault="004B551A" w:rsidP="00FC2F2F">
      <w:pPr>
        <w:tabs>
          <w:tab w:val="left" w:pos="2730"/>
        </w:tabs>
        <w:spacing w:before="100" w:beforeAutospacing="1" w:after="0"/>
        <w:ind w:right="-46"/>
        <w:jc w:val="center"/>
        <w:rPr>
          <w:rFonts w:ascii="Times New Roman" w:hAnsi="Times New Roman" w:cs="Times New Roman"/>
          <w:b/>
          <w:sz w:val="24"/>
          <w:szCs w:val="24"/>
        </w:rPr>
      </w:pPr>
    </w:p>
    <w:p w14:paraId="511CB00D" w14:textId="77777777" w:rsidR="004B551A" w:rsidRPr="0035043B" w:rsidRDefault="004B551A" w:rsidP="00FC2F2F">
      <w:pPr>
        <w:tabs>
          <w:tab w:val="left" w:pos="2730"/>
        </w:tabs>
        <w:spacing w:before="100" w:beforeAutospacing="1" w:after="0"/>
        <w:ind w:right="-46"/>
        <w:jc w:val="center"/>
        <w:rPr>
          <w:rFonts w:ascii="Times New Roman" w:hAnsi="Times New Roman" w:cs="Times New Roman"/>
          <w:b/>
          <w:sz w:val="24"/>
          <w:szCs w:val="24"/>
        </w:rPr>
      </w:pPr>
    </w:p>
    <w:p w14:paraId="549AD031" w14:textId="77777777" w:rsidR="00A47106" w:rsidRPr="0035043B" w:rsidRDefault="00A47106" w:rsidP="00FC2F2F">
      <w:pPr>
        <w:spacing w:after="0" w:line="240" w:lineRule="auto"/>
        <w:ind w:right="-46"/>
        <w:jc w:val="center"/>
        <w:rPr>
          <w:rFonts w:ascii="Times New Roman" w:hAnsi="Times New Roman" w:cs="Times New Roman"/>
          <w:b/>
          <w:caps/>
        </w:rPr>
      </w:pPr>
    </w:p>
    <w:p w14:paraId="5231D01A" w14:textId="77777777" w:rsidR="00F6252F" w:rsidRPr="0035043B" w:rsidRDefault="00F6252F" w:rsidP="00FC2F2F">
      <w:pPr>
        <w:ind w:right="-46"/>
        <w:rPr>
          <w:rFonts w:ascii="Times New Roman" w:hAnsi="Times New Roman" w:cs="Times New Roman"/>
          <w:b/>
          <w:sz w:val="24"/>
          <w:szCs w:val="24"/>
        </w:rPr>
      </w:pPr>
    </w:p>
    <w:p w14:paraId="5C09494A" w14:textId="77777777" w:rsidR="00F6252F" w:rsidRPr="0035043B" w:rsidRDefault="00F6252F" w:rsidP="00FC2F2F">
      <w:pPr>
        <w:ind w:right="-46"/>
        <w:rPr>
          <w:rFonts w:ascii="Times New Roman" w:hAnsi="Times New Roman" w:cs="Times New Roman"/>
          <w:b/>
          <w:sz w:val="24"/>
          <w:szCs w:val="24"/>
        </w:rPr>
      </w:pPr>
    </w:p>
    <w:p w14:paraId="6B4D7F89" w14:textId="77777777" w:rsidR="00F6252F" w:rsidRPr="0035043B" w:rsidRDefault="00F6252F" w:rsidP="00FC2F2F">
      <w:pPr>
        <w:ind w:right="-46"/>
        <w:rPr>
          <w:rFonts w:ascii="Times New Roman" w:hAnsi="Times New Roman" w:cs="Times New Roman"/>
          <w:b/>
          <w:sz w:val="24"/>
          <w:szCs w:val="24"/>
        </w:rPr>
      </w:pPr>
    </w:p>
    <w:p w14:paraId="17229AF1" w14:textId="77777777" w:rsidR="00F6252F" w:rsidRPr="0035043B" w:rsidRDefault="00A345B1" w:rsidP="00A345B1">
      <w:pPr>
        <w:tabs>
          <w:tab w:val="left" w:pos="8205"/>
        </w:tabs>
        <w:ind w:right="-46"/>
        <w:rPr>
          <w:rFonts w:ascii="Times New Roman" w:hAnsi="Times New Roman" w:cs="Times New Roman"/>
          <w:b/>
          <w:sz w:val="24"/>
          <w:szCs w:val="24"/>
        </w:rPr>
      </w:pPr>
      <w:r w:rsidRPr="0035043B">
        <w:rPr>
          <w:rFonts w:ascii="Times New Roman" w:hAnsi="Times New Roman" w:cs="Times New Roman"/>
          <w:b/>
          <w:sz w:val="24"/>
          <w:szCs w:val="24"/>
        </w:rPr>
        <w:tab/>
      </w:r>
    </w:p>
    <w:p w14:paraId="259EBFE2" w14:textId="77777777" w:rsidR="00F6252F" w:rsidRPr="0035043B" w:rsidRDefault="00F6252F" w:rsidP="00FC2F2F">
      <w:pPr>
        <w:ind w:right="-46"/>
        <w:rPr>
          <w:rFonts w:ascii="Times New Roman" w:hAnsi="Times New Roman" w:cs="Times New Roman"/>
          <w:b/>
          <w:sz w:val="24"/>
          <w:szCs w:val="24"/>
        </w:rPr>
      </w:pPr>
    </w:p>
    <w:p w14:paraId="5633FAA5" w14:textId="77777777" w:rsidR="00F6252F" w:rsidRPr="0035043B" w:rsidRDefault="00F6252F" w:rsidP="00FC2F2F">
      <w:pPr>
        <w:ind w:right="-46"/>
        <w:rPr>
          <w:rFonts w:ascii="Times New Roman" w:hAnsi="Times New Roman" w:cs="Times New Roman"/>
          <w:b/>
          <w:sz w:val="24"/>
          <w:szCs w:val="24"/>
        </w:rPr>
      </w:pPr>
    </w:p>
    <w:p w14:paraId="232378F7" w14:textId="77777777" w:rsidR="00F6252F" w:rsidRPr="0035043B" w:rsidRDefault="00F6252F" w:rsidP="00FC2F2F">
      <w:pPr>
        <w:ind w:right="-46"/>
        <w:rPr>
          <w:rFonts w:ascii="Cambria" w:hAnsi="Cambria" w:cs="Times New Roman"/>
          <w:sz w:val="24"/>
          <w:szCs w:val="24"/>
        </w:rPr>
      </w:pPr>
    </w:p>
    <w:p w14:paraId="22E45A39" w14:textId="251B351C" w:rsidR="00A47106" w:rsidRPr="0035043B" w:rsidRDefault="00E35151" w:rsidP="00784E52">
      <w:pPr>
        <w:ind w:right="-46"/>
        <w:jc w:val="center"/>
        <w:rPr>
          <w:rFonts w:ascii="Cambria" w:hAnsi="Cambria" w:cs="Times New Roman"/>
          <w:sz w:val="24"/>
          <w:szCs w:val="24"/>
        </w:rPr>
      </w:pPr>
      <w:r>
        <w:rPr>
          <w:rFonts w:ascii="Cambria" w:hAnsi="Cambria" w:cs="Times New Roman"/>
          <w:sz w:val="24"/>
          <w:szCs w:val="24"/>
        </w:rPr>
        <w:t xml:space="preserve">Maj </w:t>
      </w:r>
      <w:r w:rsidR="00784E52" w:rsidRPr="0035043B">
        <w:rPr>
          <w:rFonts w:ascii="Cambria" w:hAnsi="Cambria" w:cs="Times New Roman"/>
          <w:sz w:val="24"/>
          <w:szCs w:val="24"/>
        </w:rPr>
        <w:t>202</w:t>
      </w:r>
      <w:r w:rsidR="00A10C10">
        <w:rPr>
          <w:rFonts w:ascii="Cambria" w:hAnsi="Cambria" w:cs="Times New Roman"/>
          <w:sz w:val="24"/>
          <w:szCs w:val="24"/>
        </w:rPr>
        <w:t>3</w:t>
      </w:r>
    </w:p>
    <w:p w14:paraId="2D6602EB" w14:textId="77777777" w:rsidR="00914381" w:rsidRPr="0035043B" w:rsidRDefault="00914381" w:rsidP="00784E52">
      <w:pPr>
        <w:ind w:right="-46"/>
        <w:jc w:val="center"/>
        <w:rPr>
          <w:rFonts w:ascii="Cambria" w:hAnsi="Cambria" w:cs="Times New Roman"/>
          <w:sz w:val="24"/>
          <w:szCs w:val="24"/>
        </w:rPr>
      </w:pPr>
    </w:p>
    <w:sdt>
      <w:sdtPr>
        <w:rPr>
          <w:rFonts w:asciiTheme="minorHAnsi" w:eastAsiaTheme="minorHAnsi" w:hAnsiTheme="minorHAnsi" w:cstheme="minorBidi"/>
          <w:color w:val="auto"/>
          <w:sz w:val="22"/>
          <w:szCs w:val="22"/>
          <w:highlight w:val="yellow"/>
          <w:lang w:val="sq-AL"/>
        </w:rPr>
        <w:id w:val="-1731071290"/>
        <w:docPartObj>
          <w:docPartGallery w:val="Table of Contents"/>
          <w:docPartUnique/>
        </w:docPartObj>
      </w:sdtPr>
      <w:sdtEndPr>
        <w:rPr>
          <w:rFonts w:eastAsia="MS Mincho"/>
          <w:b/>
          <w:bCs/>
          <w:noProof/>
          <w:sz w:val="24"/>
          <w:szCs w:val="24"/>
        </w:rPr>
      </w:sdtEndPr>
      <w:sdtContent>
        <w:p w14:paraId="3D8AAC6A" w14:textId="77777777" w:rsidR="001F3412" w:rsidRPr="00DB3C91" w:rsidRDefault="001F3412" w:rsidP="00FC2F2F">
          <w:pPr>
            <w:pStyle w:val="TOCHeading"/>
            <w:ind w:right="-46"/>
            <w:rPr>
              <w:rFonts w:asciiTheme="minorHAnsi" w:eastAsiaTheme="minorHAnsi" w:hAnsiTheme="minorHAnsi" w:cstheme="minorBidi"/>
              <w:color w:val="auto"/>
              <w:sz w:val="22"/>
              <w:szCs w:val="22"/>
              <w:highlight w:val="yellow"/>
              <w:lang w:val="sq-AL"/>
            </w:rPr>
          </w:pPr>
        </w:p>
        <w:p w14:paraId="0C053D72" w14:textId="77777777" w:rsidR="00762F38" w:rsidRPr="000F59B0" w:rsidRDefault="00506686" w:rsidP="00FC2F2F">
          <w:pPr>
            <w:pStyle w:val="TOCHeading"/>
            <w:ind w:right="-46"/>
            <w:jc w:val="center"/>
            <w:rPr>
              <w:rFonts w:ascii="Cambria" w:hAnsi="Cambria"/>
              <w:b/>
              <w:color w:val="C00000"/>
              <w:sz w:val="24"/>
            </w:rPr>
          </w:pPr>
          <w:r w:rsidRPr="000F59B0">
            <w:rPr>
              <w:rFonts w:ascii="Cambria" w:hAnsi="Cambria"/>
              <w:b/>
              <w:color w:val="C00000"/>
              <w:sz w:val="24"/>
            </w:rPr>
            <w:t>P</w:t>
          </w:r>
          <w:r w:rsidR="00D7649A" w:rsidRPr="000F59B0">
            <w:rPr>
              <w:rFonts w:ascii="Cambria" w:hAnsi="Cambria"/>
              <w:b/>
              <w:color w:val="C00000"/>
              <w:sz w:val="24"/>
            </w:rPr>
            <w:t>Ë</w:t>
          </w:r>
          <w:r w:rsidRPr="000F59B0">
            <w:rPr>
              <w:rFonts w:ascii="Cambria" w:hAnsi="Cambria"/>
              <w:b/>
              <w:color w:val="C00000"/>
              <w:sz w:val="24"/>
            </w:rPr>
            <w:t>RMBAJTJ</w:t>
          </w:r>
          <w:r w:rsidR="00AD5C99" w:rsidRPr="000F59B0">
            <w:rPr>
              <w:rFonts w:ascii="Cambria" w:hAnsi="Cambria"/>
              <w:b/>
              <w:color w:val="C00000"/>
              <w:sz w:val="24"/>
            </w:rPr>
            <w:t>E</w:t>
          </w:r>
        </w:p>
        <w:p w14:paraId="4012F736" w14:textId="77777777" w:rsidR="003B3BBB" w:rsidRPr="00DB3C91" w:rsidRDefault="003B3BBB" w:rsidP="00FC2F2F">
          <w:pPr>
            <w:ind w:right="-46"/>
            <w:rPr>
              <w:rFonts w:ascii="Cambria" w:hAnsi="Cambria"/>
              <w:highlight w:val="yellow"/>
              <w:lang w:val="en-US"/>
            </w:rPr>
          </w:pPr>
        </w:p>
        <w:p w14:paraId="32A2A052" w14:textId="77777777" w:rsidR="003C1892" w:rsidRPr="000F59B0" w:rsidRDefault="00762F38" w:rsidP="00513848">
          <w:pPr>
            <w:pStyle w:val="TOC1"/>
          </w:pPr>
          <w:r w:rsidRPr="000F59B0">
            <w:t xml:space="preserve">           </w:t>
          </w:r>
          <w:r w:rsidR="00506686" w:rsidRPr="000F59B0">
            <w:fldChar w:fldCharType="begin"/>
          </w:r>
          <w:r w:rsidR="00506686" w:rsidRPr="000F59B0">
            <w:instrText xml:space="preserve"> TOC \o "1-3" \h \z \u </w:instrText>
          </w:r>
          <w:r w:rsidR="00506686" w:rsidRPr="000F59B0">
            <w:fldChar w:fldCharType="separate"/>
          </w:r>
        </w:p>
        <w:p w14:paraId="23ED2B21" w14:textId="77777777" w:rsidR="003C1892" w:rsidRPr="000F59B0" w:rsidRDefault="0053565A">
          <w:pPr>
            <w:pStyle w:val="TOC1"/>
            <w:rPr>
              <w:rFonts w:asciiTheme="minorHAnsi" w:eastAsiaTheme="minorEastAsia" w:hAnsiTheme="minorHAnsi"/>
              <w:b w:val="0"/>
              <w:lang w:val="en-US"/>
            </w:rPr>
          </w:pPr>
          <w:hyperlink w:anchor="_Toc34645060" w:history="1">
            <w:r w:rsidR="003C1892" w:rsidRPr="000F59B0">
              <w:rPr>
                <w:rStyle w:val="Hyperlink"/>
              </w:rPr>
              <w:t>PËRMBLEDHJE</w:t>
            </w:r>
            <w:r w:rsidR="003C1892" w:rsidRPr="000F59B0">
              <w:rPr>
                <w:webHidden/>
              </w:rPr>
              <w:tab/>
            </w:r>
            <w:r w:rsidR="003C1892" w:rsidRPr="000F59B0">
              <w:rPr>
                <w:webHidden/>
              </w:rPr>
              <w:fldChar w:fldCharType="begin"/>
            </w:r>
            <w:r w:rsidR="003C1892" w:rsidRPr="000F59B0">
              <w:rPr>
                <w:webHidden/>
              </w:rPr>
              <w:instrText xml:space="preserve"> PAGEREF _Toc34645060 \h </w:instrText>
            </w:r>
            <w:r w:rsidR="003C1892" w:rsidRPr="000F59B0">
              <w:rPr>
                <w:webHidden/>
              </w:rPr>
            </w:r>
            <w:r w:rsidR="003C1892" w:rsidRPr="000F59B0">
              <w:rPr>
                <w:webHidden/>
              </w:rPr>
              <w:fldChar w:fldCharType="separate"/>
            </w:r>
            <w:r w:rsidR="00133ADD">
              <w:rPr>
                <w:webHidden/>
              </w:rPr>
              <w:t>2</w:t>
            </w:r>
            <w:r w:rsidR="003C1892" w:rsidRPr="000F59B0">
              <w:rPr>
                <w:webHidden/>
              </w:rPr>
              <w:fldChar w:fldCharType="end"/>
            </w:r>
          </w:hyperlink>
        </w:p>
        <w:p w14:paraId="5C9C5373" w14:textId="77777777" w:rsidR="003C1892" w:rsidRPr="000F59B0" w:rsidRDefault="0053565A">
          <w:pPr>
            <w:pStyle w:val="TOC1"/>
            <w:rPr>
              <w:rFonts w:asciiTheme="minorHAnsi" w:eastAsiaTheme="minorEastAsia" w:hAnsiTheme="minorHAnsi"/>
              <w:b w:val="0"/>
              <w:lang w:val="en-US"/>
            </w:rPr>
          </w:pPr>
          <w:hyperlink w:anchor="_Toc34645061" w:history="1">
            <w:r w:rsidR="003C1892" w:rsidRPr="000F59B0">
              <w:rPr>
                <w:rStyle w:val="Hyperlink"/>
              </w:rPr>
              <w:t>1.</w:t>
            </w:r>
            <w:r w:rsidR="003C1892" w:rsidRPr="000F59B0">
              <w:rPr>
                <w:rFonts w:asciiTheme="minorHAnsi" w:eastAsiaTheme="minorEastAsia" w:hAnsiTheme="minorHAnsi"/>
                <w:b w:val="0"/>
                <w:lang w:val="en-US"/>
              </w:rPr>
              <w:tab/>
            </w:r>
            <w:r w:rsidR="003C1892" w:rsidRPr="000F59B0">
              <w:rPr>
                <w:rStyle w:val="Hyperlink"/>
              </w:rPr>
              <w:t>Ecuria e Borxhit Publik</w:t>
            </w:r>
            <w:r w:rsidR="003C1892" w:rsidRPr="000F59B0">
              <w:rPr>
                <w:webHidden/>
              </w:rPr>
              <w:tab/>
            </w:r>
            <w:r w:rsidR="003C1892" w:rsidRPr="000F59B0">
              <w:rPr>
                <w:webHidden/>
              </w:rPr>
              <w:fldChar w:fldCharType="begin"/>
            </w:r>
            <w:r w:rsidR="003C1892" w:rsidRPr="000F59B0">
              <w:rPr>
                <w:webHidden/>
              </w:rPr>
              <w:instrText xml:space="preserve"> PAGEREF _Toc34645061 \h </w:instrText>
            </w:r>
            <w:r w:rsidR="003C1892" w:rsidRPr="000F59B0">
              <w:rPr>
                <w:webHidden/>
              </w:rPr>
            </w:r>
            <w:r w:rsidR="003C1892" w:rsidRPr="000F59B0">
              <w:rPr>
                <w:webHidden/>
              </w:rPr>
              <w:fldChar w:fldCharType="separate"/>
            </w:r>
            <w:r w:rsidR="00133ADD">
              <w:rPr>
                <w:webHidden/>
              </w:rPr>
              <w:t>2</w:t>
            </w:r>
            <w:r w:rsidR="003C1892" w:rsidRPr="000F59B0">
              <w:rPr>
                <w:webHidden/>
              </w:rPr>
              <w:fldChar w:fldCharType="end"/>
            </w:r>
          </w:hyperlink>
        </w:p>
        <w:p w14:paraId="743A4109" w14:textId="77777777" w:rsidR="003C1892" w:rsidRPr="000F59B0" w:rsidRDefault="0053565A">
          <w:pPr>
            <w:pStyle w:val="TOC1"/>
            <w:rPr>
              <w:rFonts w:asciiTheme="minorHAnsi" w:eastAsiaTheme="minorEastAsia" w:hAnsiTheme="minorHAnsi"/>
              <w:b w:val="0"/>
              <w:lang w:val="en-US"/>
            </w:rPr>
          </w:pPr>
          <w:hyperlink w:anchor="_Toc34645062" w:history="1">
            <w:r w:rsidR="003C1892" w:rsidRPr="000F59B0">
              <w:rPr>
                <w:rStyle w:val="Hyperlink"/>
              </w:rPr>
              <w:t>2.</w:t>
            </w:r>
            <w:r w:rsidR="003C1892" w:rsidRPr="000F59B0">
              <w:rPr>
                <w:rFonts w:asciiTheme="minorHAnsi" w:eastAsiaTheme="minorEastAsia" w:hAnsiTheme="minorHAnsi"/>
                <w:b w:val="0"/>
                <w:lang w:val="en-US"/>
              </w:rPr>
              <w:tab/>
            </w:r>
            <w:r w:rsidR="003C1892" w:rsidRPr="000F59B0">
              <w:rPr>
                <w:rStyle w:val="Hyperlink"/>
              </w:rPr>
              <w:t>Borxhi Shtetëror</w:t>
            </w:r>
            <w:r w:rsidR="003C1892" w:rsidRPr="000F59B0">
              <w:rPr>
                <w:webHidden/>
              </w:rPr>
              <w:tab/>
            </w:r>
            <w:r w:rsidR="003C1892" w:rsidRPr="000F59B0">
              <w:rPr>
                <w:webHidden/>
              </w:rPr>
              <w:fldChar w:fldCharType="begin"/>
            </w:r>
            <w:r w:rsidR="003C1892" w:rsidRPr="000F59B0">
              <w:rPr>
                <w:webHidden/>
              </w:rPr>
              <w:instrText xml:space="preserve"> PAGEREF _Toc34645062 \h </w:instrText>
            </w:r>
            <w:r w:rsidR="003C1892" w:rsidRPr="000F59B0">
              <w:rPr>
                <w:webHidden/>
              </w:rPr>
            </w:r>
            <w:r w:rsidR="003C1892" w:rsidRPr="000F59B0">
              <w:rPr>
                <w:webHidden/>
              </w:rPr>
              <w:fldChar w:fldCharType="separate"/>
            </w:r>
            <w:r w:rsidR="00133ADD">
              <w:rPr>
                <w:webHidden/>
              </w:rPr>
              <w:t>4</w:t>
            </w:r>
            <w:r w:rsidR="003C1892" w:rsidRPr="000F59B0">
              <w:rPr>
                <w:webHidden/>
              </w:rPr>
              <w:fldChar w:fldCharType="end"/>
            </w:r>
          </w:hyperlink>
        </w:p>
        <w:p w14:paraId="79DDE370" w14:textId="77777777" w:rsidR="003C1892" w:rsidRPr="000F59B0" w:rsidRDefault="0053565A">
          <w:pPr>
            <w:pStyle w:val="TOC1"/>
            <w:rPr>
              <w:rFonts w:asciiTheme="minorHAnsi" w:eastAsiaTheme="minorEastAsia" w:hAnsiTheme="minorHAnsi"/>
              <w:b w:val="0"/>
              <w:lang w:val="en-US"/>
            </w:rPr>
          </w:pPr>
          <w:hyperlink w:anchor="_Toc34645063" w:history="1">
            <w:r w:rsidR="003C1892" w:rsidRPr="000F59B0">
              <w:rPr>
                <w:rStyle w:val="Hyperlink"/>
              </w:rPr>
              <w:t>3.</w:t>
            </w:r>
            <w:r w:rsidR="003C1892" w:rsidRPr="000F59B0">
              <w:rPr>
                <w:rFonts w:asciiTheme="minorHAnsi" w:eastAsiaTheme="minorEastAsia" w:hAnsiTheme="minorHAnsi"/>
                <w:b w:val="0"/>
                <w:lang w:val="en-US"/>
              </w:rPr>
              <w:tab/>
            </w:r>
            <w:r w:rsidR="003C1892" w:rsidRPr="000F59B0">
              <w:rPr>
                <w:rStyle w:val="Hyperlink"/>
              </w:rPr>
              <w:t>Borxhi Shtetëror i Garantuar</w:t>
            </w:r>
            <w:r w:rsidR="003C1892" w:rsidRPr="000F59B0">
              <w:rPr>
                <w:webHidden/>
              </w:rPr>
              <w:tab/>
            </w:r>
            <w:r w:rsidR="003C1892" w:rsidRPr="000F59B0">
              <w:rPr>
                <w:webHidden/>
              </w:rPr>
              <w:fldChar w:fldCharType="begin"/>
            </w:r>
            <w:r w:rsidR="003C1892" w:rsidRPr="000F59B0">
              <w:rPr>
                <w:webHidden/>
              </w:rPr>
              <w:instrText xml:space="preserve"> PAGEREF _Toc34645063 \h </w:instrText>
            </w:r>
            <w:r w:rsidR="003C1892" w:rsidRPr="000F59B0">
              <w:rPr>
                <w:webHidden/>
              </w:rPr>
            </w:r>
            <w:r w:rsidR="003C1892" w:rsidRPr="000F59B0">
              <w:rPr>
                <w:webHidden/>
              </w:rPr>
              <w:fldChar w:fldCharType="separate"/>
            </w:r>
            <w:r w:rsidR="00133ADD">
              <w:rPr>
                <w:webHidden/>
              </w:rPr>
              <w:t>6</w:t>
            </w:r>
            <w:r w:rsidR="003C1892" w:rsidRPr="000F59B0">
              <w:rPr>
                <w:webHidden/>
              </w:rPr>
              <w:fldChar w:fldCharType="end"/>
            </w:r>
          </w:hyperlink>
        </w:p>
        <w:p w14:paraId="506B328D" w14:textId="77777777" w:rsidR="003C1892" w:rsidRPr="000F59B0" w:rsidRDefault="0053565A">
          <w:pPr>
            <w:pStyle w:val="TOC1"/>
            <w:rPr>
              <w:rFonts w:asciiTheme="minorHAnsi" w:eastAsiaTheme="minorEastAsia" w:hAnsiTheme="minorHAnsi"/>
              <w:b w:val="0"/>
              <w:lang w:val="en-US"/>
            </w:rPr>
          </w:pPr>
          <w:hyperlink w:anchor="_Toc34645064" w:history="1">
            <w:r w:rsidR="003C1892" w:rsidRPr="000F59B0">
              <w:rPr>
                <w:rStyle w:val="Hyperlink"/>
              </w:rPr>
              <w:t>4.</w:t>
            </w:r>
            <w:r w:rsidR="003C1892" w:rsidRPr="000F59B0">
              <w:rPr>
                <w:rFonts w:asciiTheme="minorHAnsi" w:eastAsiaTheme="minorEastAsia" w:hAnsiTheme="minorHAnsi"/>
                <w:b w:val="0"/>
                <w:lang w:val="en-US"/>
              </w:rPr>
              <w:tab/>
            </w:r>
            <w:r w:rsidR="003C1892" w:rsidRPr="000F59B0">
              <w:rPr>
                <w:rStyle w:val="Hyperlink"/>
              </w:rPr>
              <w:t>Huamarrja</w:t>
            </w:r>
            <w:r w:rsidR="003C1892" w:rsidRPr="000F59B0">
              <w:rPr>
                <w:webHidden/>
              </w:rPr>
              <w:tab/>
            </w:r>
            <w:r w:rsidR="003C1892" w:rsidRPr="000F59B0">
              <w:rPr>
                <w:webHidden/>
              </w:rPr>
              <w:fldChar w:fldCharType="begin"/>
            </w:r>
            <w:r w:rsidR="003C1892" w:rsidRPr="000F59B0">
              <w:rPr>
                <w:webHidden/>
              </w:rPr>
              <w:instrText xml:space="preserve"> PAGEREF _Toc34645064 \h </w:instrText>
            </w:r>
            <w:r w:rsidR="003C1892" w:rsidRPr="000F59B0">
              <w:rPr>
                <w:webHidden/>
              </w:rPr>
            </w:r>
            <w:r w:rsidR="003C1892" w:rsidRPr="000F59B0">
              <w:rPr>
                <w:webHidden/>
              </w:rPr>
              <w:fldChar w:fldCharType="separate"/>
            </w:r>
            <w:r w:rsidR="00133ADD">
              <w:rPr>
                <w:webHidden/>
              </w:rPr>
              <w:t>7</w:t>
            </w:r>
            <w:r w:rsidR="003C1892" w:rsidRPr="000F59B0">
              <w:rPr>
                <w:webHidden/>
              </w:rPr>
              <w:fldChar w:fldCharType="end"/>
            </w:r>
          </w:hyperlink>
        </w:p>
        <w:p w14:paraId="3B7F3698" w14:textId="77777777" w:rsidR="003C1892" w:rsidRPr="000F59B0" w:rsidRDefault="0053565A">
          <w:pPr>
            <w:pStyle w:val="TOC2"/>
            <w:rPr>
              <w:rFonts w:eastAsiaTheme="minorEastAsia"/>
              <w:noProof/>
              <w:lang w:val="en-US"/>
            </w:rPr>
          </w:pPr>
          <w:hyperlink w:anchor="_Toc34645065" w:history="1">
            <w:r w:rsidR="003C1892" w:rsidRPr="000F59B0">
              <w:rPr>
                <w:rStyle w:val="Hyperlink"/>
                <w:rFonts w:ascii="Cambria" w:hAnsi="Cambria"/>
                <w:noProof/>
              </w:rPr>
              <w:t>4.1.</w:t>
            </w:r>
            <w:r w:rsidR="003C1892" w:rsidRPr="000F59B0">
              <w:rPr>
                <w:rFonts w:eastAsiaTheme="minorEastAsia"/>
                <w:noProof/>
                <w:lang w:val="en-US"/>
              </w:rPr>
              <w:tab/>
            </w:r>
            <w:r w:rsidR="003C1892" w:rsidRPr="000F59B0">
              <w:rPr>
                <w:rStyle w:val="Hyperlink"/>
                <w:rFonts w:ascii="Cambria" w:hAnsi="Cambria"/>
                <w:noProof/>
              </w:rPr>
              <w:t>Huamarrja e Brendshme</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_Toc34645065 \h </w:instrText>
            </w:r>
            <w:r w:rsidR="003C1892" w:rsidRPr="000F59B0">
              <w:rPr>
                <w:noProof/>
                <w:webHidden/>
              </w:rPr>
            </w:r>
            <w:r w:rsidR="003C1892" w:rsidRPr="000F59B0">
              <w:rPr>
                <w:noProof/>
                <w:webHidden/>
              </w:rPr>
              <w:fldChar w:fldCharType="separate"/>
            </w:r>
            <w:r w:rsidR="00133ADD">
              <w:rPr>
                <w:noProof/>
                <w:webHidden/>
              </w:rPr>
              <w:t>7</w:t>
            </w:r>
            <w:r w:rsidR="003C1892" w:rsidRPr="000F59B0">
              <w:rPr>
                <w:noProof/>
                <w:webHidden/>
              </w:rPr>
              <w:fldChar w:fldCharType="end"/>
            </w:r>
          </w:hyperlink>
        </w:p>
        <w:p w14:paraId="1A5E4A3A" w14:textId="77777777" w:rsidR="003C1892" w:rsidRPr="000F59B0" w:rsidRDefault="0053565A">
          <w:pPr>
            <w:pStyle w:val="TOC2"/>
            <w:rPr>
              <w:rFonts w:eastAsiaTheme="minorEastAsia"/>
              <w:noProof/>
              <w:lang w:val="en-US"/>
            </w:rPr>
          </w:pPr>
          <w:hyperlink w:anchor="_Toc34645066" w:history="1">
            <w:r w:rsidR="003C1892" w:rsidRPr="000F59B0">
              <w:rPr>
                <w:rStyle w:val="Hyperlink"/>
                <w:rFonts w:ascii="Cambria" w:hAnsi="Cambria"/>
                <w:noProof/>
              </w:rPr>
              <w:t>4.2.</w:t>
            </w:r>
            <w:r w:rsidR="003C1892" w:rsidRPr="000F59B0">
              <w:rPr>
                <w:rFonts w:eastAsiaTheme="minorEastAsia"/>
                <w:noProof/>
                <w:lang w:val="en-US"/>
              </w:rPr>
              <w:tab/>
            </w:r>
            <w:r w:rsidR="003C1892" w:rsidRPr="000F59B0">
              <w:rPr>
                <w:rStyle w:val="Hyperlink"/>
                <w:rFonts w:ascii="Cambria" w:hAnsi="Cambria"/>
                <w:noProof/>
              </w:rPr>
              <w:t>Huamarrja e Huaj</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_Toc34645066 \h </w:instrText>
            </w:r>
            <w:r w:rsidR="003C1892" w:rsidRPr="000F59B0">
              <w:rPr>
                <w:noProof/>
                <w:webHidden/>
              </w:rPr>
            </w:r>
            <w:r w:rsidR="003C1892" w:rsidRPr="000F59B0">
              <w:rPr>
                <w:noProof/>
                <w:webHidden/>
              </w:rPr>
              <w:fldChar w:fldCharType="separate"/>
            </w:r>
            <w:r w:rsidR="00133ADD">
              <w:rPr>
                <w:noProof/>
                <w:webHidden/>
              </w:rPr>
              <w:t>8</w:t>
            </w:r>
            <w:r w:rsidR="003C1892" w:rsidRPr="000F59B0">
              <w:rPr>
                <w:noProof/>
                <w:webHidden/>
              </w:rPr>
              <w:fldChar w:fldCharType="end"/>
            </w:r>
          </w:hyperlink>
        </w:p>
        <w:p w14:paraId="2E5240DA" w14:textId="77777777" w:rsidR="003C1892" w:rsidRPr="000F59B0" w:rsidRDefault="0053565A">
          <w:pPr>
            <w:pStyle w:val="TOC1"/>
            <w:rPr>
              <w:rFonts w:asciiTheme="minorHAnsi" w:eastAsiaTheme="minorEastAsia" w:hAnsiTheme="minorHAnsi"/>
              <w:b w:val="0"/>
              <w:lang w:val="en-US"/>
            </w:rPr>
          </w:pPr>
          <w:hyperlink w:anchor="_Toc34645067" w:history="1">
            <w:r w:rsidR="003C1892" w:rsidRPr="000F59B0">
              <w:rPr>
                <w:rStyle w:val="Hyperlink"/>
              </w:rPr>
              <w:t>5.</w:t>
            </w:r>
            <w:r w:rsidR="003C1892" w:rsidRPr="000F59B0">
              <w:rPr>
                <w:rFonts w:asciiTheme="minorHAnsi" w:eastAsiaTheme="minorEastAsia" w:hAnsiTheme="minorHAnsi"/>
                <w:b w:val="0"/>
                <w:lang w:val="en-US"/>
              </w:rPr>
              <w:tab/>
            </w:r>
            <w:r w:rsidR="003C1892" w:rsidRPr="000F59B0">
              <w:rPr>
                <w:rStyle w:val="Hyperlink"/>
              </w:rPr>
              <w:t>Kosto dhe Risqet</w:t>
            </w:r>
            <w:r w:rsidR="003C1892" w:rsidRPr="000F59B0">
              <w:rPr>
                <w:webHidden/>
              </w:rPr>
              <w:tab/>
            </w:r>
            <w:r w:rsidR="003C1892" w:rsidRPr="000F59B0">
              <w:rPr>
                <w:webHidden/>
              </w:rPr>
              <w:fldChar w:fldCharType="begin"/>
            </w:r>
            <w:r w:rsidR="003C1892" w:rsidRPr="000F59B0">
              <w:rPr>
                <w:webHidden/>
              </w:rPr>
              <w:instrText xml:space="preserve"> PAGEREF _Toc34645067 \h </w:instrText>
            </w:r>
            <w:r w:rsidR="003C1892" w:rsidRPr="000F59B0">
              <w:rPr>
                <w:webHidden/>
              </w:rPr>
            </w:r>
            <w:r w:rsidR="003C1892" w:rsidRPr="000F59B0">
              <w:rPr>
                <w:webHidden/>
              </w:rPr>
              <w:fldChar w:fldCharType="separate"/>
            </w:r>
            <w:r w:rsidR="00133ADD">
              <w:rPr>
                <w:webHidden/>
              </w:rPr>
              <w:t>9</w:t>
            </w:r>
            <w:r w:rsidR="003C1892" w:rsidRPr="000F59B0">
              <w:rPr>
                <w:webHidden/>
              </w:rPr>
              <w:fldChar w:fldCharType="end"/>
            </w:r>
          </w:hyperlink>
        </w:p>
        <w:p w14:paraId="248EC45D" w14:textId="77777777" w:rsidR="003C1892" w:rsidRPr="000F59B0" w:rsidRDefault="0053565A">
          <w:pPr>
            <w:pStyle w:val="TOC2"/>
            <w:rPr>
              <w:rFonts w:eastAsiaTheme="minorEastAsia"/>
              <w:noProof/>
              <w:lang w:val="en-US"/>
            </w:rPr>
          </w:pPr>
          <w:hyperlink w:anchor="_Toc34645068" w:history="1">
            <w:r w:rsidR="003C1892" w:rsidRPr="000F59B0">
              <w:rPr>
                <w:rStyle w:val="Hyperlink"/>
                <w:rFonts w:ascii="Cambria" w:hAnsi="Cambria"/>
                <w:noProof/>
              </w:rPr>
              <w:t>5.1.</w:t>
            </w:r>
            <w:r w:rsidR="003C1892" w:rsidRPr="000F59B0">
              <w:rPr>
                <w:rFonts w:eastAsiaTheme="minorEastAsia"/>
                <w:noProof/>
                <w:lang w:val="en-US"/>
              </w:rPr>
              <w:tab/>
            </w:r>
            <w:r w:rsidR="003C1892" w:rsidRPr="000F59B0">
              <w:rPr>
                <w:rStyle w:val="Hyperlink"/>
                <w:rFonts w:ascii="Cambria" w:hAnsi="Cambria"/>
                <w:noProof/>
              </w:rPr>
              <w:t>Kosto</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_Toc34645068 \h </w:instrText>
            </w:r>
            <w:r w:rsidR="003C1892" w:rsidRPr="000F59B0">
              <w:rPr>
                <w:noProof/>
                <w:webHidden/>
              </w:rPr>
            </w:r>
            <w:r w:rsidR="003C1892" w:rsidRPr="000F59B0">
              <w:rPr>
                <w:noProof/>
                <w:webHidden/>
              </w:rPr>
              <w:fldChar w:fldCharType="separate"/>
            </w:r>
            <w:r w:rsidR="00133ADD">
              <w:rPr>
                <w:noProof/>
                <w:webHidden/>
              </w:rPr>
              <w:t>9</w:t>
            </w:r>
            <w:r w:rsidR="003C1892" w:rsidRPr="000F59B0">
              <w:rPr>
                <w:noProof/>
                <w:webHidden/>
              </w:rPr>
              <w:fldChar w:fldCharType="end"/>
            </w:r>
          </w:hyperlink>
        </w:p>
        <w:p w14:paraId="140FDD1C" w14:textId="77777777" w:rsidR="003C1892" w:rsidRPr="000F59B0" w:rsidRDefault="0053565A">
          <w:pPr>
            <w:pStyle w:val="TOC2"/>
            <w:rPr>
              <w:rFonts w:eastAsiaTheme="minorEastAsia"/>
              <w:noProof/>
              <w:lang w:val="en-US"/>
            </w:rPr>
          </w:pPr>
          <w:hyperlink w:anchor="_Toc34645069" w:history="1">
            <w:r w:rsidR="003C1892" w:rsidRPr="000F59B0">
              <w:rPr>
                <w:rStyle w:val="Hyperlink"/>
                <w:rFonts w:ascii="Cambria" w:hAnsi="Cambria"/>
                <w:noProof/>
              </w:rPr>
              <w:t>5.2.</w:t>
            </w:r>
            <w:r w:rsidR="003C1892" w:rsidRPr="000F59B0">
              <w:rPr>
                <w:rFonts w:eastAsiaTheme="minorEastAsia"/>
                <w:noProof/>
                <w:lang w:val="en-US"/>
              </w:rPr>
              <w:tab/>
            </w:r>
            <w:r w:rsidR="003C1892" w:rsidRPr="000F59B0">
              <w:rPr>
                <w:rStyle w:val="Hyperlink"/>
                <w:rFonts w:ascii="Cambria" w:hAnsi="Cambria"/>
                <w:noProof/>
              </w:rPr>
              <w:t>Risqet</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_Toc34645069 \h </w:instrText>
            </w:r>
            <w:r w:rsidR="003C1892" w:rsidRPr="000F59B0">
              <w:rPr>
                <w:noProof/>
                <w:webHidden/>
              </w:rPr>
            </w:r>
            <w:r w:rsidR="003C1892" w:rsidRPr="000F59B0">
              <w:rPr>
                <w:noProof/>
                <w:webHidden/>
              </w:rPr>
              <w:fldChar w:fldCharType="separate"/>
            </w:r>
            <w:r w:rsidR="00133ADD">
              <w:rPr>
                <w:noProof/>
                <w:webHidden/>
              </w:rPr>
              <w:t>10</w:t>
            </w:r>
            <w:r w:rsidR="003C1892" w:rsidRPr="000F59B0">
              <w:rPr>
                <w:noProof/>
                <w:webHidden/>
              </w:rPr>
              <w:fldChar w:fldCharType="end"/>
            </w:r>
          </w:hyperlink>
        </w:p>
        <w:p w14:paraId="3FA22CED" w14:textId="77777777" w:rsidR="003C1892" w:rsidRPr="000F59B0" w:rsidRDefault="0053565A">
          <w:pPr>
            <w:pStyle w:val="TOC1"/>
            <w:rPr>
              <w:rFonts w:asciiTheme="minorHAnsi" w:eastAsiaTheme="minorEastAsia" w:hAnsiTheme="minorHAnsi"/>
              <w:b w:val="0"/>
              <w:lang w:val="en-US"/>
            </w:rPr>
          </w:pPr>
          <w:hyperlink w:anchor="_Toc34645070" w:history="1">
            <w:r w:rsidR="003C1892" w:rsidRPr="000F59B0">
              <w:rPr>
                <w:rStyle w:val="Hyperlink"/>
              </w:rPr>
              <w:t>6.</w:t>
            </w:r>
            <w:r w:rsidR="003C1892" w:rsidRPr="000F59B0">
              <w:rPr>
                <w:rFonts w:asciiTheme="minorHAnsi" w:eastAsiaTheme="minorEastAsia" w:hAnsiTheme="minorHAnsi"/>
                <w:b w:val="0"/>
                <w:lang w:val="en-US"/>
              </w:rPr>
              <w:tab/>
            </w:r>
            <w:r w:rsidR="003C1892" w:rsidRPr="000F59B0">
              <w:rPr>
                <w:rStyle w:val="Hyperlink"/>
              </w:rPr>
              <w:t>Zhvillimet e Tregut Primar të Titujve Shtetërorë</w:t>
            </w:r>
            <w:r w:rsidR="003C1892" w:rsidRPr="000F59B0">
              <w:rPr>
                <w:webHidden/>
              </w:rPr>
              <w:tab/>
            </w:r>
            <w:r w:rsidR="003C1892" w:rsidRPr="000F59B0">
              <w:rPr>
                <w:webHidden/>
              </w:rPr>
              <w:fldChar w:fldCharType="begin"/>
            </w:r>
            <w:r w:rsidR="003C1892" w:rsidRPr="000F59B0">
              <w:rPr>
                <w:webHidden/>
              </w:rPr>
              <w:instrText xml:space="preserve"> PAGEREF _Toc34645070 \h </w:instrText>
            </w:r>
            <w:r w:rsidR="003C1892" w:rsidRPr="000F59B0">
              <w:rPr>
                <w:webHidden/>
              </w:rPr>
            </w:r>
            <w:r w:rsidR="003C1892" w:rsidRPr="000F59B0">
              <w:rPr>
                <w:webHidden/>
              </w:rPr>
              <w:fldChar w:fldCharType="separate"/>
            </w:r>
            <w:r w:rsidR="00133ADD">
              <w:rPr>
                <w:webHidden/>
              </w:rPr>
              <w:t>12</w:t>
            </w:r>
            <w:r w:rsidR="003C1892" w:rsidRPr="000F59B0">
              <w:rPr>
                <w:webHidden/>
              </w:rPr>
              <w:fldChar w:fldCharType="end"/>
            </w:r>
          </w:hyperlink>
        </w:p>
        <w:p w14:paraId="4BA24AF3" w14:textId="77777777" w:rsidR="003C1892" w:rsidRPr="000F59B0" w:rsidRDefault="0053565A">
          <w:pPr>
            <w:pStyle w:val="TOC2"/>
            <w:rPr>
              <w:rFonts w:eastAsiaTheme="minorEastAsia"/>
              <w:noProof/>
              <w:lang w:val="en-US"/>
            </w:rPr>
          </w:pPr>
          <w:hyperlink w:anchor="_Toc34645071" w:history="1">
            <w:r w:rsidR="003C1892" w:rsidRPr="000F59B0">
              <w:rPr>
                <w:rStyle w:val="Hyperlink"/>
                <w:rFonts w:ascii="Cambria" w:hAnsi="Cambria"/>
                <w:noProof/>
              </w:rPr>
              <w:t>6.1.</w:t>
            </w:r>
            <w:r w:rsidR="003C1892" w:rsidRPr="000F59B0">
              <w:rPr>
                <w:rFonts w:eastAsiaTheme="minorEastAsia"/>
                <w:noProof/>
                <w:lang w:val="en-US"/>
              </w:rPr>
              <w:tab/>
            </w:r>
            <w:r w:rsidR="003C1892" w:rsidRPr="000F59B0">
              <w:rPr>
                <w:rStyle w:val="Hyperlink"/>
                <w:rFonts w:ascii="Cambria" w:hAnsi="Cambria"/>
                <w:noProof/>
              </w:rPr>
              <w:t>Ecuria e ankandeve dhe kërkesa për titujt shtetërorë</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_Toc34645071 \h </w:instrText>
            </w:r>
            <w:r w:rsidR="003C1892" w:rsidRPr="000F59B0">
              <w:rPr>
                <w:noProof/>
                <w:webHidden/>
              </w:rPr>
            </w:r>
            <w:r w:rsidR="003C1892" w:rsidRPr="000F59B0">
              <w:rPr>
                <w:noProof/>
                <w:webHidden/>
              </w:rPr>
              <w:fldChar w:fldCharType="separate"/>
            </w:r>
            <w:r w:rsidR="00133ADD">
              <w:rPr>
                <w:noProof/>
                <w:webHidden/>
              </w:rPr>
              <w:t>12</w:t>
            </w:r>
            <w:r w:rsidR="003C1892" w:rsidRPr="000F59B0">
              <w:rPr>
                <w:noProof/>
                <w:webHidden/>
              </w:rPr>
              <w:fldChar w:fldCharType="end"/>
            </w:r>
          </w:hyperlink>
        </w:p>
        <w:p w14:paraId="2C2237BA" w14:textId="77777777" w:rsidR="003C1892" w:rsidRPr="000F59B0" w:rsidRDefault="0053565A">
          <w:pPr>
            <w:pStyle w:val="TOC2"/>
            <w:rPr>
              <w:rFonts w:eastAsiaTheme="minorEastAsia"/>
              <w:noProof/>
              <w:lang w:val="en-US"/>
            </w:rPr>
          </w:pPr>
          <w:hyperlink w:anchor="_Toc34645072" w:history="1">
            <w:r w:rsidR="003C1892" w:rsidRPr="000F59B0">
              <w:rPr>
                <w:rStyle w:val="Hyperlink"/>
                <w:rFonts w:ascii="Cambria" w:hAnsi="Cambria"/>
                <w:noProof/>
              </w:rPr>
              <w:t>6.2.</w:t>
            </w:r>
            <w:r w:rsidR="003C1892" w:rsidRPr="000F59B0">
              <w:rPr>
                <w:rFonts w:eastAsiaTheme="minorEastAsia"/>
                <w:noProof/>
                <w:lang w:val="en-US"/>
              </w:rPr>
              <w:tab/>
            </w:r>
            <w:r w:rsidR="003C1892" w:rsidRPr="000F59B0">
              <w:rPr>
                <w:rStyle w:val="Hyperlink"/>
                <w:rFonts w:ascii="Cambria" w:hAnsi="Cambria"/>
                <w:noProof/>
              </w:rPr>
              <w:t>Ecuria e normave të interesit</w:t>
            </w:r>
            <w:r w:rsidR="003C1892" w:rsidRPr="000F59B0">
              <w:rPr>
                <w:noProof/>
                <w:webHidden/>
              </w:rPr>
              <w:tab/>
            </w:r>
            <w:r w:rsidR="003C1892" w:rsidRPr="000F59B0">
              <w:rPr>
                <w:noProof/>
                <w:webHidden/>
              </w:rPr>
              <w:fldChar w:fldCharType="begin"/>
            </w:r>
            <w:r w:rsidR="003C1892" w:rsidRPr="000F59B0">
              <w:rPr>
                <w:noProof/>
                <w:webHidden/>
              </w:rPr>
              <w:instrText xml:space="preserve"> PAGEREF _Toc34645072 \h </w:instrText>
            </w:r>
            <w:r w:rsidR="003C1892" w:rsidRPr="000F59B0">
              <w:rPr>
                <w:noProof/>
                <w:webHidden/>
              </w:rPr>
            </w:r>
            <w:r w:rsidR="003C1892" w:rsidRPr="000F59B0">
              <w:rPr>
                <w:noProof/>
                <w:webHidden/>
              </w:rPr>
              <w:fldChar w:fldCharType="separate"/>
            </w:r>
            <w:r w:rsidR="00133ADD">
              <w:rPr>
                <w:noProof/>
                <w:webHidden/>
              </w:rPr>
              <w:t>14</w:t>
            </w:r>
            <w:r w:rsidR="003C1892" w:rsidRPr="000F59B0">
              <w:rPr>
                <w:noProof/>
                <w:webHidden/>
              </w:rPr>
              <w:fldChar w:fldCharType="end"/>
            </w:r>
          </w:hyperlink>
        </w:p>
        <w:p w14:paraId="37C0A02E" w14:textId="77777777" w:rsidR="003C1892" w:rsidRPr="000F59B0" w:rsidRDefault="0053565A">
          <w:pPr>
            <w:pStyle w:val="TOC1"/>
            <w:rPr>
              <w:rFonts w:asciiTheme="minorHAnsi" w:eastAsiaTheme="minorEastAsia" w:hAnsiTheme="minorHAnsi"/>
              <w:b w:val="0"/>
              <w:lang w:val="en-US"/>
            </w:rPr>
          </w:pPr>
          <w:hyperlink w:anchor="_Toc34645073" w:history="1">
            <w:r w:rsidR="003C1892" w:rsidRPr="000F59B0">
              <w:rPr>
                <w:rStyle w:val="Hyperlink"/>
                <w:rFonts w:eastAsia="Times New Roman" w:cstheme="majorBidi"/>
              </w:rPr>
              <w:t>ANEKSI I</w:t>
            </w:r>
            <w:r w:rsidR="0077198B" w:rsidRPr="000F59B0">
              <w:rPr>
                <w:rStyle w:val="Hyperlink"/>
                <w:rFonts w:eastAsia="Times New Roman" w:cstheme="majorBidi"/>
              </w:rPr>
              <w:t xml:space="preserve">    (Akronime dhe Fjalor Shpjegues)</w:t>
            </w:r>
            <w:r w:rsidR="003C1892" w:rsidRPr="000F59B0">
              <w:rPr>
                <w:webHidden/>
              </w:rPr>
              <w:tab/>
            </w:r>
            <w:r w:rsidR="003C1892" w:rsidRPr="000F59B0">
              <w:rPr>
                <w:webHidden/>
              </w:rPr>
              <w:fldChar w:fldCharType="begin"/>
            </w:r>
            <w:r w:rsidR="003C1892" w:rsidRPr="000F59B0">
              <w:rPr>
                <w:webHidden/>
              </w:rPr>
              <w:instrText xml:space="preserve"> PAGEREF _Toc34645073 \h </w:instrText>
            </w:r>
            <w:r w:rsidR="003C1892" w:rsidRPr="000F59B0">
              <w:rPr>
                <w:webHidden/>
              </w:rPr>
            </w:r>
            <w:r w:rsidR="003C1892" w:rsidRPr="000F59B0">
              <w:rPr>
                <w:webHidden/>
              </w:rPr>
              <w:fldChar w:fldCharType="separate"/>
            </w:r>
            <w:r w:rsidR="00133ADD">
              <w:rPr>
                <w:webHidden/>
              </w:rPr>
              <w:t>15</w:t>
            </w:r>
            <w:r w:rsidR="003C1892" w:rsidRPr="000F59B0">
              <w:rPr>
                <w:webHidden/>
              </w:rPr>
              <w:fldChar w:fldCharType="end"/>
            </w:r>
          </w:hyperlink>
        </w:p>
        <w:p w14:paraId="73CDD4BB" w14:textId="77777777" w:rsidR="003C1892" w:rsidRPr="000F59B0" w:rsidRDefault="0053565A">
          <w:pPr>
            <w:pStyle w:val="TOC1"/>
            <w:rPr>
              <w:rFonts w:asciiTheme="minorHAnsi" w:eastAsiaTheme="minorEastAsia" w:hAnsiTheme="minorHAnsi"/>
              <w:b w:val="0"/>
              <w:lang w:val="en-US"/>
            </w:rPr>
          </w:pPr>
          <w:hyperlink w:anchor="_Toc34645075" w:history="1">
            <w:r w:rsidR="003C1892" w:rsidRPr="000F59B0">
              <w:rPr>
                <w:rStyle w:val="Hyperlink"/>
                <w:rFonts w:eastAsia="Times New Roman" w:cstheme="majorBidi"/>
              </w:rPr>
              <w:t>ANEKSI II</w:t>
            </w:r>
            <w:r w:rsidR="0077198B" w:rsidRPr="000F59B0">
              <w:rPr>
                <w:rStyle w:val="Hyperlink"/>
                <w:rFonts w:eastAsia="Times New Roman" w:cstheme="majorBidi"/>
              </w:rPr>
              <w:t xml:space="preserve">  (Të Dhëna </w:t>
            </w:r>
            <w:r w:rsidR="000F3D66" w:rsidRPr="000F59B0">
              <w:rPr>
                <w:rStyle w:val="Hyperlink"/>
                <w:rFonts w:eastAsia="Times New Roman" w:cstheme="majorBidi"/>
              </w:rPr>
              <w:t>Shtesë</w:t>
            </w:r>
            <w:r w:rsidR="0077198B" w:rsidRPr="000F59B0">
              <w:rPr>
                <w:rStyle w:val="Hyperlink"/>
                <w:rFonts w:eastAsia="Times New Roman" w:cstheme="majorBidi"/>
              </w:rPr>
              <w:t>)</w:t>
            </w:r>
            <w:r w:rsidR="003C1892" w:rsidRPr="000F59B0">
              <w:rPr>
                <w:webHidden/>
              </w:rPr>
              <w:tab/>
            </w:r>
            <w:r w:rsidR="003C1892" w:rsidRPr="000F59B0">
              <w:rPr>
                <w:webHidden/>
              </w:rPr>
              <w:fldChar w:fldCharType="begin"/>
            </w:r>
            <w:r w:rsidR="003C1892" w:rsidRPr="000F59B0">
              <w:rPr>
                <w:webHidden/>
              </w:rPr>
              <w:instrText xml:space="preserve"> PAGEREF _Toc34645075 \h </w:instrText>
            </w:r>
            <w:r w:rsidR="003C1892" w:rsidRPr="000F59B0">
              <w:rPr>
                <w:webHidden/>
              </w:rPr>
            </w:r>
            <w:r w:rsidR="003C1892" w:rsidRPr="000F59B0">
              <w:rPr>
                <w:webHidden/>
              </w:rPr>
              <w:fldChar w:fldCharType="separate"/>
            </w:r>
            <w:r w:rsidR="00133ADD">
              <w:rPr>
                <w:webHidden/>
              </w:rPr>
              <w:t>19</w:t>
            </w:r>
            <w:r w:rsidR="003C1892" w:rsidRPr="000F59B0">
              <w:rPr>
                <w:webHidden/>
              </w:rPr>
              <w:fldChar w:fldCharType="end"/>
            </w:r>
          </w:hyperlink>
        </w:p>
        <w:p w14:paraId="3A6709D6" w14:textId="77777777" w:rsidR="00506686" w:rsidRPr="00DB3C91" w:rsidRDefault="00506686" w:rsidP="00FC2F2F">
          <w:pPr>
            <w:ind w:right="-46"/>
            <w:rPr>
              <w:sz w:val="24"/>
              <w:szCs w:val="24"/>
              <w:highlight w:val="yellow"/>
            </w:rPr>
          </w:pPr>
          <w:r w:rsidRPr="000F59B0">
            <w:rPr>
              <w:rFonts w:ascii="Cambria" w:hAnsi="Cambria" w:cs="Times New Roman"/>
              <w:b/>
              <w:bCs/>
              <w:noProof/>
              <w:sz w:val="20"/>
              <w:szCs w:val="20"/>
            </w:rPr>
            <w:fldChar w:fldCharType="end"/>
          </w:r>
        </w:p>
      </w:sdtContent>
    </w:sdt>
    <w:p w14:paraId="1DF132FB" w14:textId="77777777" w:rsidR="00F6252F" w:rsidRPr="00DB3C91" w:rsidRDefault="00F6252F" w:rsidP="00FC2F2F">
      <w:pPr>
        <w:ind w:right="-46"/>
        <w:rPr>
          <w:rFonts w:ascii="Times New Roman" w:hAnsi="Times New Roman" w:cs="Times New Roman"/>
          <w:b/>
          <w:sz w:val="24"/>
          <w:szCs w:val="24"/>
          <w:highlight w:val="yellow"/>
        </w:rPr>
      </w:pPr>
    </w:p>
    <w:p w14:paraId="493D91A9" w14:textId="77777777" w:rsidR="00F6252F" w:rsidRPr="00DB3C91" w:rsidRDefault="00F6252F" w:rsidP="00FC2F2F">
      <w:pPr>
        <w:ind w:right="-46"/>
        <w:rPr>
          <w:rFonts w:ascii="Times New Roman" w:hAnsi="Times New Roman" w:cs="Times New Roman"/>
          <w:b/>
          <w:sz w:val="24"/>
          <w:szCs w:val="24"/>
          <w:highlight w:val="yellow"/>
        </w:rPr>
      </w:pPr>
    </w:p>
    <w:p w14:paraId="4A309D00" w14:textId="77777777" w:rsidR="00F6252F" w:rsidRPr="00DB3C91" w:rsidRDefault="00F6252F" w:rsidP="00FC2F2F">
      <w:pPr>
        <w:ind w:right="-46"/>
        <w:rPr>
          <w:rFonts w:ascii="Times New Roman" w:hAnsi="Times New Roman" w:cs="Times New Roman"/>
          <w:b/>
          <w:sz w:val="24"/>
          <w:szCs w:val="24"/>
          <w:highlight w:val="yellow"/>
        </w:rPr>
      </w:pPr>
    </w:p>
    <w:p w14:paraId="4603D726" w14:textId="77777777" w:rsidR="00F6252F" w:rsidRPr="00DB3C91" w:rsidRDefault="00F6252F" w:rsidP="00FC2F2F">
      <w:pPr>
        <w:ind w:right="-46"/>
        <w:rPr>
          <w:rFonts w:ascii="Times New Roman" w:hAnsi="Times New Roman" w:cs="Times New Roman"/>
          <w:b/>
          <w:sz w:val="24"/>
          <w:szCs w:val="24"/>
          <w:highlight w:val="yellow"/>
        </w:rPr>
      </w:pPr>
    </w:p>
    <w:p w14:paraId="1C61B7F4" w14:textId="77777777" w:rsidR="00F6252F" w:rsidRDefault="00F6252F" w:rsidP="00FC2F2F">
      <w:pPr>
        <w:ind w:right="-46"/>
        <w:rPr>
          <w:rFonts w:ascii="Times New Roman" w:hAnsi="Times New Roman" w:cs="Times New Roman"/>
          <w:b/>
          <w:sz w:val="24"/>
          <w:szCs w:val="24"/>
          <w:highlight w:val="yellow"/>
        </w:rPr>
      </w:pPr>
    </w:p>
    <w:p w14:paraId="16101022" w14:textId="77777777" w:rsidR="009F0F08" w:rsidRPr="00DB3C91" w:rsidRDefault="009F0F08" w:rsidP="00FC2F2F">
      <w:pPr>
        <w:ind w:right="-46"/>
        <w:rPr>
          <w:rFonts w:ascii="Times New Roman" w:hAnsi="Times New Roman" w:cs="Times New Roman"/>
          <w:b/>
          <w:sz w:val="24"/>
          <w:szCs w:val="24"/>
          <w:highlight w:val="yellow"/>
        </w:rPr>
      </w:pPr>
    </w:p>
    <w:p w14:paraId="6BDADBBD" w14:textId="77777777" w:rsidR="00F6252F" w:rsidRPr="00DB3C91" w:rsidRDefault="00F6252F" w:rsidP="00FC2F2F">
      <w:pPr>
        <w:ind w:right="-46"/>
        <w:rPr>
          <w:rFonts w:ascii="Times New Roman" w:hAnsi="Times New Roman" w:cs="Times New Roman"/>
          <w:b/>
          <w:sz w:val="24"/>
          <w:szCs w:val="24"/>
          <w:highlight w:val="yellow"/>
        </w:rPr>
      </w:pPr>
    </w:p>
    <w:p w14:paraId="462CC22B" w14:textId="77777777" w:rsidR="00F6252F" w:rsidRPr="00DB3C91" w:rsidRDefault="00F6252F" w:rsidP="00FC2F2F">
      <w:pPr>
        <w:ind w:right="-46"/>
        <w:rPr>
          <w:rFonts w:ascii="Times New Roman" w:hAnsi="Times New Roman" w:cs="Times New Roman"/>
          <w:b/>
          <w:sz w:val="24"/>
          <w:szCs w:val="24"/>
          <w:highlight w:val="yellow"/>
        </w:rPr>
      </w:pPr>
    </w:p>
    <w:p w14:paraId="3E21C3AA" w14:textId="77777777" w:rsidR="00F6252F" w:rsidRPr="00DB3C91" w:rsidRDefault="00F6252F" w:rsidP="00FC2F2F">
      <w:pPr>
        <w:ind w:right="-46"/>
        <w:rPr>
          <w:rFonts w:ascii="Times New Roman" w:hAnsi="Times New Roman" w:cs="Times New Roman"/>
          <w:b/>
          <w:sz w:val="24"/>
          <w:szCs w:val="24"/>
          <w:highlight w:val="yellow"/>
        </w:rPr>
      </w:pPr>
    </w:p>
    <w:p w14:paraId="305C14A5" w14:textId="77777777" w:rsidR="00326334" w:rsidRPr="00DB3C91" w:rsidRDefault="00326334" w:rsidP="00FC2F2F">
      <w:pPr>
        <w:ind w:right="-46"/>
        <w:rPr>
          <w:rFonts w:ascii="Times New Roman" w:hAnsi="Times New Roman" w:cs="Times New Roman"/>
          <w:b/>
          <w:sz w:val="24"/>
          <w:szCs w:val="24"/>
          <w:highlight w:val="yellow"/>
        </w:rPr>
      </w:pPr>
    </w:p>
    <w:p w14:paraId="5790C725" w14:textId="77777777" w:rsidR="00326334" w:rsidRPr="00DB3C91" w:rsidRDefault="00326334" w:rsidP="00FC2F2F">
      <w:pPr>
        <w:ind w:right="-46"/>
        <w:rPr>
          <w:rFonts w:ascii="Times New Roman" w:hAnsi="Times New Roman" w:cs="Times New Roman"/>
          <w:b/>
          <w:sz w:val="24"/>
          <w:szCs w:val="24"/>
          <w:highlight w:val="yellow"/>
        </w:rPr>
      </w:pPr>
    </w:p>
    <w:p w14:paraId="6834C209" w14:textId="77777777" w:rsidR="00E340A0" w:rsidRPr="00DB3C91" w:rsidRDefault="00E340A0" w:rsidP="00FC2F2F">
      <w:pPr>
        <w:ind w:right="-46"/>
        <w:rPr>
          <w:rFonts w:ascii="Times New Roman" w:hAnsi="Times New Roman" w:cs="Times New Roman"/>
          <w:b/>
          <w:sz w:val="24"/>
          <w:szCs w:val="24"/>
          <w:highlight w:val="yellow"/>
        </w:rPr>
      </w:pPr>
    </w:p>
    <w:p w14:paraId="4B04CD2D" w14:textId="77777777" w:rsidR="003E7CEF" w:rsidRPr="00DB3C91" w:rsidRDefault="003E7CEF" w:rsidP="00FC2F2F">
      <w:pPr>
        <w:ind w:right="-46"/>
        <w:rPr>
          <w:highlight w:val="yellow"/>
        </w:rPr>
      </w:pPr>
    </w:p>
    <w:p w14:paraId="1240257F" w14:textId="77777777" w:rsidR="00F6252F" w:rsidRPr="00DB3C91" w:rsidRDefault="00492B91" w:rsidP="00FC2F2F">
      <w:pPr>
        <w:pStyle w:val="Heading1"/>
        <w:spacing w:before="0"/>
        <w:ind w:right="-46"/>
        <w:jc w:val="center"/>
        <w:rPr>
          <w:rFonts w:ascii="Cambria" w:hAnsi="Cambria"/>
          <w:sz w:val="24"/>
        </w:rPr>
      </w:pPr>
      <w:bookmarkStart w:id="0" w:name="_Toc34645060"/>
      <w:r w:rsidRPr="00DB3C91">
        <w:rPr>
          <w:rFonts w:ascii="Cambria" w:hAnsi="Cambria"/>
          <w:sz w:val="24"/>
        </w:rPr>
        <w:lastRenderedPageBreak/>
        <w:t>PËRMBLEDHJE</w:t>
      </w:r>
      <w:bookmarkEnd w:id="0"/>
    </w:p>
    <w:p w14:paraId="41EB2D10" w14:textId="77777777" w:rsidR="00B633CB" w:rsidRPr="0035043B" w:rsidRDefault="00B633CB" w:rsidP="00FC2F2F">
      <w:pPr>
        <w:shd w:val="clear" w:color="auto" w:fill="FFFFFF"/>
        <w:tabs>
          <w:tab w:val="left" w:pos="8647"/>
          <w:tab w:val="left" w:pos="8789"/>
        </w:tabs>
        <w:spacing w:after="0" w:line="276" w:lineRule="auto"/>
        <w:ind w:right="-46"/>
        <w:jc w:val="both"/>
        <w:rPr>
          <w:rFonts w:ascii="Times New Roman" w:eastAsia="Calibri" w:hAnsi="Times New Roman" w:cs="Times New Roman"/>
          <w:noProof/>
          <w:sz w:val="14"/>
          <w:szCs w:val="14"/>
          <w:highlight w:val="yellow"/>
          <w:lang w:eastAsia="ja-JP"/>
        </w:rPr>
      </w:pPr>
    </w:p>
    <w:p w14:paraId="719A9E7A" w14:textId="11C73D82" w:rsidR="00DB3C91" w:rsidRPr="00F03864" w:rsidRDefault="00DB3C91" w:rsidP="003E3BAE">
      <w:pPr>
        <w:tabs>
          <w:tab w:val="left" w:pos="8647"/>
          <w:tab w:val="left" w:pos="8789"/>
        </w:tabs>
        <w:spacing w:after="0" w:line="276" w:lineRule="auto"/>
        <w:ind w:right="-176"/>
        <w:jc w:val="both"/>
        <w:rPr>
          <w:rFonts w:ascii="Times New Roman" w:hAnsi="Times New Roman" w:cs="Times New Roman"/>
          <w:noProof/>
          <w:sz w:val="24"/>
          <w:szCs w:val="24"/>
        </w:rPr>
      </w:pPr>
      <w:r w:rsidRPr="00F03864">
        <w:rPr>
          <w:rFonts w:ascii="Times New Roman" w:hAnsi="Times New Roman" w:cs="Times New Roman"/>
          <w:noProof/>
          <w:sz w:val="24"/>
          <w:szCs w:val="24"/>
        </w:rPr>
        <w:t xml:space="preserve">Borxhi </w:t>
      </w:r>
      <w:r w:rsidR="00313C36" w:rsidRPr="00F03864">
        <w:rPr>
          <w:rFonts w:ascii="Times New Roman" w:hAnsi="Times New Roman" w:cs="Times New Roman"/>
          <w:noProof/>
          <w:sz w:val="24"/>
          <w:szCs w:val="24"/>
        </w:rPr>
        <w:t>publik</w:t>
      </w:r>
      <w:r w:rsidR="00C91F6E" w:rsidRPr="00F03864">
        <w:rPr>
          <w:rFonts w:ascii="Times New Roman" w:hAnsi="Times New Roman" w:cs="Times New Roman"/>
          <w:noProof/>
          <w:sz w:val="24"/>
          <w:szCs w:val="24"/>
        </w:rPr>
        <w:t xml:space="preserve"> gjatë </w:t>
      </w:r>
      <w:r w:rsidRPr="00F03864">
        <w:rPr>
          <w:rFonts w:ascii="Times New Roman" w:hAnsi="Times New Roman" w:cs="Times New Roman"/>
          <w:noProof/>
          <w:sz w:val="24"/>
          <w:szCs w:val="24"/>
        </w:rPr>
        <w:t>vitit 2022 përgjithësisht është menaxhuar në përputhje me objektivat strategjikë afatmesëm për ruajtjen e qëndrueshmërisë së raporteve ndërmjet kostos dhe risqeve.</w:t>
      </w:r>
    </w:p>
    <w:p w14:paraId="53BE9F76" w14:textId="77777777" w:rsidR="00DB3C91" w:rsidRPr="00463687" w:rsidRDefault="00DB3C91" w:rsidP="003E3BAE">
      <w:pPr>
        <w:tabs>
          <w:tab w:val="left" w:pos="8647"/>
          <w:tab w:val="left" w:pos="8789"/>
        </w:tabs>
        <w:spacing w:after="0" w:line="276" w:lineRule="auto"/>
        <w:ind w:right="-176"/>
        <w:jc w:val="both"/>
        <w:rPr>
          <w:rFonts w:ascii="Times New Roman" w:eastAsia="Calibri" w:hAnsi="Times New Roman" w:cs="Times New Roman"/>
          <w:noProof/>
          <w:sz w:val="10"/>
          <w:szCs w:val="10"/>
          <w:highlight w:val="yellow"/>
          <w:lang w:eastAsia="ja-JP"/>
        </w:rPr>
      </w:pPr>
    </w:p>
    <w:p w14:paraId="52F8567F" w14:textId="2BC44763" w:rsidR="00DB3C91" w:rsidRPr="00660B87" w:rsidRDefault="00DB3C91" w:rsidP="003E3BAE">
      <w:pPr>
        <w:pStyle w:val="ListParagraph"/>
        <w:tabs>
          <w:tab w:val="left" w:pos="8789"/>
        </w:tabs>
        <w:spacing w:after="0" w:line="276" w:lineRule="auto"/>
        <w:ind w:left="0" w:right="-176"/>
        <w:jc w:val="both"/>
        <w:rPr>
          <w:rFonts w:ascii="Times New Roman" w:hAnsi="Times New Roman" w:cs="Times New Roman"/>
          <w:noProof/>
          <w:sz w:val="24"/>
          <w:szCs w:val="24"/>
        </w:rPr>
      </w:pPr>
      <w:r w:rsidRPr="00F03864">
        <w:rPr>
          <w:rFonts w:ascii="Times New Roman" w:hAnsi="Times New Roman" w:cs="Times New Roman"/>
          <w:noProof/>
          <w:sz w:val="24"/>
          <w:szCs w:val="24"/>
        </w:rPr>
        <w:t xml:space="preserve">Për sa i përket huamarrjes, </w:t>
      </w:r>
      <w:r w:rsidR="00173E74" w:rsidRPr="00F03864">
        <w:rPr>
          <w:rFonts w:ascii="Times New Roman" w:hAnsi="Times New Roman" w:cs="Times New Roman"/>
          <w:noProof/>
          <w:sz w:val="24"/>
          <w:szCs w:val="24"/>
        </w:rPr>
        <w:t>gjat</w:t>
      </w:r>
      <w:bookmarkStart w:id="1" w:name="_GoBack"/>
      <w:bookmarkEnd w:id="1"/>
      <w:r w:rsidR="00173E74" w:rsidRPr="00F03864">
        <w:rPr>
          <w:rFonts w:ascii="Times New Roman" w:hAnsi="Times New Roman" w:cs="Times New Roman"/>
          <w:noProof/>
          <w:sz w:val="24"/>
          <w:szCs w:val="24"/>
        </w:rPr>
        <w:t xml:space="preserve">ë </w:t>
      </w:r>
      <w:r w:rsidR="00F03864" w:rsidRPr="00F03864">
        <w:rPr>
          <w:rFonts w:ascii="Times New Roman" w:hAnsi="Times New Roman" w:cs="Times New Roman"/>
          <w:noProof/>
          <w:sz w:val="24"/>
          <w:szCs w:val="24"/>
        </w:rPr>
        <w:t>vitit</w:t>
      </w:r>
      <w:r w:rsidR="00173E74" w:rsidRPr="00F03864">
        <w:rPr>
          <w:rFonts w:ascii="Times New Roman" w:hAnsi="Times New Roman" w:cs="Times New Roman"/>
          <w:noProof/>
          <w:sz w:val="24"/>
          <w:szCs w:val="24"/>
        </w:rPr>
        <w:t xml:space="preserve"> 2022, ka pasur një kërkesë </w:t>
      </w:r>
      <w:r w:rsidR="00274C5B" w:rsidRPr="00F03864">
        <w:rPr>
          <w:rFonts w:ascii="Times New Roman" w:hAnsi="Times New Roman" w:cs="Times New Roman"/>
          <w:noProof/>
          <w:sz w:val="24"/>
          <w:szCs w:val="24"/>
        </w:rPr>
        <w:t xml:space="preserve">më </w:t>
      </w:r>
      <w:r w:rsidR="00173E74" w:rsidRPr="00F03864">
        <w:rPr>
          <w:rFonts w:ascii="Times New Roman" w:hAnsi="Times New Roman" w:cs="Times New Roman"/>
          <w:noProof/>
          <w:sz w:val="24"/>
          <w:szCs w:val="24"/>
        </w:rPr>
        <w:t xml:space="preserve">të </w:t>
      </w:r>
      <w:r w:rsidR="00274C5B" w:rsidRPr="00F03864">
        <w:rPr>
          <w:rFonts w:ascii="Times New Roman" w:hAnsi="Times New Roman" w:cs="Times New Roman"/>
          <w:noProof/>
          <w:sz w:val="24"/>
          <w:szCs w:val="24"/>
        </w:rPr>
        <w:t>ulët</w:t>
      </w:r>
      <w:r w:rsidR="00173E74" w:rsidRPr="00F03864">
        <w:rPr>
          <w:rFonts w:ascii="Times New Roman" w:hAnsi="Times New Roman" w:cs="Times New Roman"/>
          <w:noProof/>
          <w:sz w:val="24"/>
          <w:szCs w:val="24"/>
        </w:rPr>
        <w:t xml:space="preserve"> për letrat me vlerë të borxhit të qeverisë në tregun e brendshëm, si rezultat i </w:t>
      </w:r>
      <w:r w:rsidR="00274C5B" w:rsidRPr="00F03864">
        <w:rPr>
          <w:rFonts w:ascii="Times New Roman" w:eastAsia="SimSun" w:hAnsi="Times New Roman" w:cs="Times New Roman"/>
          <w:sz w:val="24"/>
          <w:szCs w:val="24"/>
        </w:rPr>
        <w:t>një niveli pasigurie të lartë në tregje dhe pritshmërive për rritje të normave të interesit, shkaktuar nga zhvillimet e konfliktit Rusi-Ukrainë</w:t>
      </w:r>
      <w:r w:rsidR="00173E74" w:rsidRPr="00F03864">
        <w:rPr>
          <w:rFonts w:ascii="Times New Roman" w:hAnsi="Times New Roman" w:cs="Times New Roman"/>
          <w:noProof/>
          <w:sz w:val="24"/>
          <w:szCs w:val="24"/>
        </w:rPr>
        <w:t xml:space="preserve">. </w:t>
      </w:r>
      <w:r w:rsidR="00F03864" w:rsidRPr="00F03864">
        <w:rPr>
          <w:rFonts w:ascii="Times New Roman" w:hAnsi="Times New Roman" w:cs="Times New Roman"/>
          <w:noProof/>
          <w:sz w:val="24"/>
          <w:szCs w:val="24"/>
        </w:rPr>
        <w:t xml:space="preserve">Huamarrja në terma bruto u realizua në vlerën 386.1 miliard Lekë, nga të cilat 92.7% u financuan nëpërmjet burimeve të brendshme dhe 7.3% nëpërmjet burimeve të huaja. </w:t>
      </w:r>
      <w:r w:rsidRPr="00F03864">
        <w:rPr>
          <w:rFonts w:ascii="Times New Roman" w:hAnsi="Times New Roman" w:cs="Times New Roman"/>
          <w:noProof/>
          <w:sz w:val="24"/>
          <w:szCs w:val="24"/>
        </w:rPr>
        <w:t xml:space="preserve">Në tregun e brendshëm </w:t>
      </w:r>
      <w:r w:rsidR="00624AAD" w:rsidRPr="00F03864">
        <w:rPr>
          <w:rFonts w:ascii="Times New Roman" w:hAnsi="Times New Roman" w:cs="Times New Roman"/>
          <w:noProof/>
          <w:sz w:val="24"/>
          <w:szCs w:val="24"/>
        </w:rPr>
        <w:t xml:space="preserve">huamarrja bruto rezultoi në vlerën prej </w:t>
      </w:r>
      <w:r w:rsidR="0068158C" w:rsidRPr="00F03864">
        <w:rPr>
          <w:rFonts w:ascii="Times New Roman" w:hAnsi="Times New Roman" w:cs="Times New Roman"/>
          <w:noProof/>
          <w:sz w:val="24"/>
          <w:szCs w:val="24"/>
        </w:rPr>
        <w:t>357</w:t>
      </w:r>
      <w:r w:rsidR="00624AAD" w:rsidRPr="00F03864">
        <w:rPr>
          <w:rFonts w:ascii="Times New Roman" w:hAnsi="Times New Roman" w:cs="Times New Roman"/>
          <w:noProof/>
          <w:sz w:val="24"/>
          <w:szCs w:val="24"/>
        </w:rPr>
        <w:t xml:space="preserve">.9 miliard Lekë. Gjatë 2022 u maturuan instrumente të borxhit </w:t>
      </w:r>
      <w:r w:rsidR="003E08A3" w:rsidRPr="00F03864">
        <w:rPr>
          <w:rFonts w:ascii="Times New Roman" w:hAnsi="Times New Roman" w:cs="Times New Roman"/>
          <w:noProof/>
          <w:sz w:val="24"/>
          <w:szCs w:val="24"/>
        </w:rPr>
        <w:t>të brendshëm</w:t>
      </w:r>
      <w:r w:rsidR="00624AAD" w:rsidRPr="00F03864">
        <w:rPr>
          <w:rFonts w:ascii="Times New Roman" w:hAnsi="Times New Roman" w:cs="Times New Roman"/>
          <w:noProof/>
          <w:sz w:val="24"/>
          <w:szCs w:val="24"/>
        </w:rPr>
        <w:t xml:space="preserve"> në vlerën prej </w:t>
      </w:r>
      <w:r w:rsidR="0068158C" w:rsidRPr="00F03864">
        <w:rPr>
          <w:rFonts w:ascii="Times New Roman" w:hAnsi="Times New Roman" w:cs="Times New Roman"/>
          <w:noProof/>
          <w:sz w:val="24"/>
          <w:szCs w:val="24"/>
        </w:rPr>
        <w:t>331.5</w:t>
      </w:r>
      <w:r w:rsidR="00624AAD" w:rsidRPr="00F03864">
        <w:rPr>
          <w:rFonts w:ascii="Times New Roman" w:hAnsi="Times New Roman" w:cs="Times New Roman"/>
          <w:noProof/>
          <w:sz w:val="24"/>
          <w:szCs w:val="24"/>
        </w:rPr>
        <w:t xml:space="preserve"> miliard Lekë</w:t>
      </w:r>
      <w:r w:rsidR="003E08A3" w:rsidRPr="00F03864">
        <w:rPr>
          <w:rFonts w:ascii="Times New Roman" w:hAnsi="Times New Roman" w:cs="Times New Roman"/>
          <w:noProof/>
          <w:sz w:val="24"/>
          <w:szCs w:val="24"/>
        </w:rPr>
        <w:t>,</w:t>
      </w:r>
      <w:r w:rsidR="00624AAD" w:rsidRPr="00F03864">
        <w:rPr>
          <w:rFonts w:ascii="Times New Roman" w:hAnsi="Times New Roman" w:cs="Times New Roman"/>
          <w:noProof/>
          <w:sz w:val="24"/>
          <w:szCs w:val="24"/>
        </w:rPr>
        <w:t xml:space="preserve"> duke rezultuar </w:t>
      </w:r>
      <w:r w:rsidR="003E08A3" w:rsidRPr="00F03864">
        <w:rPr>
          <w:rFonts w:ascii="Times New Roman" w:hAnsi="Times New Roman" w:cs="Times New Roman"/>
          <w:noProof/>
          <w:sz w:val="24"/>
          <w:szCs w:val="24"/>
        </w:rPr>
        <w:t>në</w:t>
      </w:r>
      <w:r w:rsidR="00624AAD" w:rsidRPr="00F03864">
        <w:rPr>
          <w:rFonts w:ascii="Times New Roman" w:hAnsi="Times New Roman" w:cs="Times New Roman"/>
          <w:noProof/>
          <w:sz w:val="24"/>
          <w:szCs w:val="24"/>
        </w:rPr>
        <w:t xml:space="preserve"> një </w:t>
      </w:r>
      <w:r w:rsidRPr="00F03864">
        <w:rPr>
          <w:rFonts w:ascii="Times New Roman" w:hAnsi="Times New Roman" w:cs="Times New Roman"/>
          <w:noProof/>
          <w:sz w:val="24"/>
          <w:szCs w:val="24"/>
        </w:rPr>
        <w:t xml:space="preserve">financim neto në vlerën </w:t>
      </w:r>
      <w:r w:rsidR="0068158C" w:rsidRPr="00F03864">
        <w:rPr>
          <w:rFonts w:ascii="Times New Roman" w:hAnsi="Times New Roman" w:cs="Times New Roman"/>
          <w:noProof/>
          <w:sz w:val="24"/>
          <w:szCs w:val="24"/>
        </w:rPr>
        <w:t>26.3</w:t>
      </w:r>
      <w:r w:rsidR="00173E74" w:rsidRPr="00F03864">
        <w:rPr>
          <w:rFonts w:ascii="Times New Roman" w:hAnsi="Times New Roman" w:cs="Times New Roman"/>
          <w:noProof/>
          <w:sz w:val="24"/>
          <w:szCs w:val="24"/>
        </w:rPr>
        <w:t xml:space="preserve"> </w:t>
      </w:r>
      <w:r w:rsidRPr="00F03864">
        <w:rPr>
          <w:rFonts w:ascii="Times New Roman" w:hAnsi="Times New Roman" w:cs="Times New Roman"/>
          <w:noProof/>
          <w:sz w:val="24"/>
          <w:szCs w:val="24"/>
        </w:rPr>
        <w:t xml:space="preserve">miliard Lekë. </w:t>
      </w:r>
      <w:r w:rsidR="00624AAD" w:rsidRPr="00F03864">
        <w:rPr>
          <w:rFonts w:ascii="Times New Roman" w:hAnsi="Times New Roman" w:cs="Times New Roman"/>
          <w:noProof/>
          <w:sz w:val="24"/>
          <w:szCs w:val="24"/>
        </w:rPr>
        <w:t xml:space="preserve">Financimi neto, krahasuar me </w:t>
      </w:r>
      <w:r w:rsidR="00536470">
        <w:rPr>
          <w:rFonts w:ascii="Times New Roman" w:hAnsi="Times New Roman" w:cs="Times New Roman"/>
          <w:noProof/>
          <w:sz w:val="24"/>
          <w:szCs w:val="24"/>
        </w:rPr>
        <w:t>vitin e</w:t>
      </w:r>
      <w:r w:rsidR="00624AAD" w:rsidRPr="00F03864">
        <w:rPr>
          <w:rFonts w:ascii="Times New Roman" w:hAnsi="Times New Roman" w:cs="Times New Roman"/>
          <w:noProof/>
          <w:sz w:val="24"/>
          <w:szCs w:val="24"/>
        </w:rPr>
        <w:t xml:space="preserve"> kaluar është më i ulët</w:t>
      </w:r>
      <w:r w:rsidR="00274C5B" w:rsidRPr="00F03864">
        <w:rPr>
          <w:rFonts w:ascii="Times New Roman" w:hAnsi="Times New Roman" w:cs="Times New Roman"/>
          <w:noProof/>
          <w:sz w:val="24"/>
          <w:szCs w:val="24"/>
        </w:rPr>
        <w:t>. M</w:t>
      </w:r>
      <w:r w:rsidR="001425C2" w:rsidRPr="00F03864">
        <w:rPr>
          <w:rFonts w:ascii="Times New Roman" w:hAnsi="Times New Roman" w:cs="Times New Roman"/>
          <w:noProof/>
          <w:sz w:val="24"/>
          <w:szCs w:val="24"/>
        </w:rPr>
        <w:t>egjithatë</w:t>
      </w:r>
      <w:r w:rsidR="003E08A3" w:rsidRPr="00F03864">
        <w:rPr>
          <w:rFonts w:ascii="Times New Roman" w:hAnsi="Times New Roman" w:cs="Times New Roman"/>
          <w:noProof/>
          <w:sz w:val="24"/>
          <w:szCs w:val="24"/>
        </w:rPr>
        <w:t>,</w:t>
      </w:r>
      <w:r w:rsidR="001425C2" w:rsidRPr="00F03864">
        <w:rPr>
          <w:rFonts w:ascii="Times New Roman" w:hAnsi="Times New Roman" w:cs="Times New Roman"/>
          <w:noProof/>
          <w:sz w:val="24"/>
          <w:szCs w:val="24"/>
        </w:rPr>
        <w:t xml:space="preserve"> realizimi i një huamarrje më të ulët nga ajo e pritshme për periudhën në fjalë, nuk ka ndi</w:t>
      </w:r>
      <w:r w:rsidR="00536470">
        <w:rPr>
          <w:rFonts w:ascii="Times New Roman" w:hAnsi="Times New Roman" w:cs="Times New Roman"/>
          <w:noProof/>
          <w:sz w:val="24"/>
          <w:szCs w:val="24"/>
        </w:rPr>
        <w:t>kuar në financat publike duke qe</w:t>
      </w:r>
      <w:r w:rsidR="001425C2" w:rsidRPr="00F03864">
        <w:rPr>
          <w:rFonts w:ascii="Times New Roman" w:hAnsi="Times New Roman" w:cs="Times New Roman"/>
          <w:noProof/>
          <w:sz w:val="24"/>
          <w:szCs w:val="24"/>
        </w:rPr>
        <w:t>në se kjo periudhë nga ana tjetër është karaktrizuar nga zhvillime pozitive në drejtim të të ardhurave</w:t>
      </w:r>
      <w:r w:rsidR="003E08A3" w:rsidRPr="00F03864">
        <w:rPr>
          <w:rFonts w:ascii="Times New Roman" w:hAnsi="Times New Roman" w:cs="Times New Roman"/>
          <w:noProof/>
          <w:sz w:val="24"/>
          <w:szCs w:val="24"/>
        </w:rPr>
        <w:t xml:space="preserve"> buxhetore</w:t>
      </w:r>
      <w:r w:rsidR="001425C2" w:rsidRPr="00F03864">
        <w:rPr>
          <w:rFonts w:ascii="Times New Roman" w:hAnsi="Times New Roman" w:cs="Times New Roman"/>
          <w:noProof/>
          <w:sz w:val="24"/>
          <w:szCs w:val="24"/>
        </w:rPr>
        <w:t>, dhe një niveli likuiditeti t</w:t>
      </w:r>
      <w:r w:rsidR="003E08A3" w:rsidRPr="00F03864">
        <w:rPr>
          <w:rFonts w:ascii="Times New Roman" w:hAnsi="Times New Roman" w:cs="Times New Roman"/>
          <w:noProof/>
          <w:sz w:val="24"/>
          <w:szCs w:val="24"/>
        </w:rPr>
        <w:t xml:space="preserve">ë mjaftueshëm </w:t>
      </w:r>
      <w:r w:rsidR="00660B87">
        <w:rPr>
          <w:rFonts w:ascii="Times New Roman" w:hAnsi="Times New Roman" w:cs="Times New Roman"/>
          <w:noProof/>
          <w:sz w:val="24"/>
          <w:szCs w:val="24"/>
        </w:rPr>
        <w:t xml:space="preserve">gjatë gjithë periudhës. </w:t>
      </w:r>
      <w:r w:rsidR="00624AAD" w:rsidRPr="00F03864">
        <w:rPr>
          <w:rFonts w:ascii="Times New Roman" w:hAnsi="Times New Roman" w:cs="Times New Roman"/>
          <w:noProof/>
          <w:sz w:val="24"/>
          <w:szCs w:val="24"/>
        </w:rPr>
        <w:t>H</w:t>
      </w:r>
      <w:r w:rsidRPr="00F03864">
        <w:rPr>
          <w:rFonts w:ascii="Times New Roman" w:hAnsi="Times New Roman" w:cs="Times New Roman"/>
          <w:noProof/>
          <w:sz w:val="24"/>
          <w:szCs w:val="24"/>
        </w:rPr>
        <w:t>uamarrja e huaj</w:t>
      </w:r>
      <w:r w:rsidR="003E08A3" w:rsidRPr="00F03864">
        <w:rPr>
          <w:rFonts w:ascii="Times New Roman" w:hAnsi="Times New Roman" w:cs="Times New Roman"/>
          <w:noProof/>
          <w:sz w:val="24"/>
          <w:szCs w:val="24"/>
        </w:rPr>
        <w:t>, në</w:t>
      </w:r>
      <w:r w:rsidR="00F03864" w:rsidRPr="00F03864">
        <w:rPr>
          <w:rFonts w:ascii="Times New Roman" w:hAnsi="Times New Roman" w:cs="Times New Roman"/>
          <w:noProof/>
          <w:sz w:val="24"/>
          <w:szCs w:val="24"/>
        </w:rPr>
        <w:t xml:space="preserve"> </w:t>
      </w:r>
      <w:r w:rsidR="003E08A3" w:rsidRPr="00F03864">
        <w:rPr>
          <w:rFonts w:ascii="Times New Roman" w:hAnsi="Times New Roman" w:cs="Times New Roman"/>
          <w:noProof/>
          <w:sz w:val="24"/>
          <w:szCs w:val="24"/>
        </w:rPr>
        <w:t>vlerën prej 2</w:t>
      </w:r>
      <w:r w:rsidR="0068158C" w:rsidRPr="00F03864">
        <w:rPr>
          <w:rFonts w:ascii="Times New Roman" w:hAnsi="Times New Roman" w:cs="Times New Roman"/>
          <w:noProof/>
          <w:sz w:val="24"/>
          <w:szCs w:val="24"/>
        </w:rPr>
        <w:t>8.3</w:t>
      </w:r>
      <w:r w:rsidR="003E08A3" w:rsidRPr="00F03864">
        <w:rPr>
          <w:rFonts w:ascii="Times New Roman" w:hAnsi="Times New Roman" w:cs="Times New Roman"/>
          <w:noProof/>
          <w:sz w:val="24"/>
          <w:szCs w:val="24"/>
        </w:rPr>
        <w:t xml:space="preserve"> miliard Lekë</w:t>
      </w:r>
      <w:r w:rsidRPr="00F03864">
        <w:rPr>
          <w:rFonts w:ascii="Times New Roman" w:hAnsi="Times New Roman" w:cs="Times New Roman"/>
          <w:noProof/>
          <w:sz w:val="24"/>
          <w:szCs w:val="24"/>
        </w:rPr>
        <w:t xml:space="preserve">, </w:t>
      </w:r>
      <w:r w:rsidRPr="00F03864">
        <w:rPr>
          <w:rFonts w:ascii="Times New Roman" w:eastAsia="SimSun" w:hAnsi="Times New Roman" w:cs="Times New Roman"/>
          <w:sz w:val="24"/>
          <w:szCs w:val="24"/>
        </w:rPr>
        <w:t>krahasua</w:t>
      </w:r>
      <w:r w:rsidR="00173E74" w:rsidRPr="00F03864">
        <w:rPr>
          <w:rFonts w:ascii="Times New Roman" w:eastAsia="SimSun" w:hAnsi="Times New Roman" w:cs="Times New Roman"/>
          <w:sz w:val="24"/>
          <w:szCs w:val="24"/>
        </w:rPr>
        <w:t xml:space="preserve">r me vitin e kaluar, u ul me </w:t>
      </w:r>
      <w:r w:rsidR="0068158C" w:rsidRPr="00F03864">
        <w:rPr>
          <w:rFonts w:ascii="Times New Roman" w:eastAsia="SimSun" w:hAnsi="Times New Roman" w:cs="Times New Roman"/>
          <w:sz w:val="24"/>
          <w:szCs w:val="24"/>
        </w:rPr>
        <w:t>10</w:t>
      </w:r>
      <w:r w:rsidR="00173E74" w:rsidRPr="00F03864">
        <w:rPr>
          <w:rFonts w:ascii="Times New Roman" w:eastAsia="SimSun" w:hAnsi="Times New Roman" w:cs="Times New Roman"/>
          <w:sz w:val="24"/>
          <w:szCs w:val="24"/>
        </w:rPr>
        <w:t>7.8</w:t>
      </w:r>
      <w:r w:rsidRPr="00F03864">
        <w:rPr>
          <w:rFonts w:ascii="Times New Roman" w:eastAsia="SimSun" w:hAnsi="Times New Roman" w:cs="Times New Roman"/>
          <w:sz w:val="24"/>
          <w:szCs w:val="24"/>
        </w:rPr>
        <w:t xml:space="preserve"> miliardë lekë</w:t>
      </w:r>
      <w:r w:rsidR="003E08A3" w:rsidRPr="00F03864">
        <w:rPr>
          <w:rFonts w:ascii="Times New Roman" w:eastAsia="SimSun" w:hAnsi="Times New Roman" w:cs="Times New Roman"/>
          <w:sz w:val="24"/>
          <w:szCs w:val="24"/>
        </w:rPr>
        <w:t>.</w:t>
      </w:r>
      <w:r w:rsidRPr="00F03864">
        <w:rPr>
          <w:rFonts w:ascii="Times New Roman" w:eastAsia="SimSun" w:hAnsi="Times New Roman" w:cs="Times New Roman"/>
          <w:sz w:val="24"/>
          <w:szCs w:val="24"/>
        </w:rPr>
        <w:t xml:space="preserve"> </w:t>
      </w:r>
      <w:r w:rsidR="00F03864" w:rsidRPr="00F03864">
        <w:rPr>
          <w:rFonts w:ascii="Times New Roman" w:eastAsia="SimSun" w:hAnsi="Times New Roman" w:cs="Times New Roman"/>
          <w:sz w:val="24"/>
          <w:szCs w:val="24"/>
        </w:rPr>
        <w:t>Krahasuar me vitin 2021, huamarrja e huaj bruto është ulur për shkak se gjatë vitit 2022 nuk u emetua Eurobond, niveli i mbështetjes buxhetore ishte më e ulët se vitin e kaluar dhe gjithashtu vlera e kredive të disbursuara për financimin e projekteve është më e ulët se në vitin 2021.</w:t>
      </w:r>
    </w:p>
    <w:p w14:paraId="7D65939C" w14:textId="77777777" w:rsidR="00781A04" w:rsidRPr="00463687" w:rsidRDefault="00781A04" w:rsidP="003E3BAE">
      <w:pPr>
        <w:spacing w:after="0" w:line="276" w:lineRule="auto"/>
        <w:ind w:right="-176"/>
        <w:jc w:val="both"/>
        <w:rPr>
          <w:rFonts w:ascii="Times New Roman" w:eastAsia="SimSun" w:hAnsi="Times New Roman" w:cs="Times New Roman"/>
          <w:sz w:val="8"/>
          <w:szCs w:val="8"/>
          <w:highlight w:val="yellow"/>
        </w:rPr>
      </w:pPr>
    </w:p>
    <w:p w14:paraId="1B288AE8" w14:textId="528EC5B9" w:rsidR="00781A04" w:rsidRPr="00F03864" w:rsidRDefault="00781A04" w:rsidP="003E3BAE">
      <w:pPr>
        <w:spacing w:after="0" w:line="276" w:lineRule="auto"/>
        <w:ind w:right="-176"/>
        <w:jc w:val="both"/>
        <w:rPr>
          <w:rFonts w:ascii="Times New Roman" w:eastAsia="SimSun" w:hAnsi="Times New Roman" w:cs="Times New Roman"/>
          <w:sz w:val="24"/>
          <w:szCs w:val="24"/>
        </w:rPr>
      </w:pPr>
      <w:r w:rsidRPr="00F03864">
        <w:rPr>
          <w:rFonts w:ascii="Times New Roman" w:eastAsia="SimSun" w:hAnsi="Times New Roman" w:cs="Times New Roman"/>
          <w:sz w:val="24"/>
          <w:szCs w:val="24"/>
        </w:rPr>
        <w:t xml:space="preserve">Yield-et e letrave me vlerë të qeverisë kanë ndjekur një tendencë rritëse duke filluar nga muaji Mars 2022, rritje kjo e ndikuar nga </w:t>
      </w:r>
      <w:r w:rsidR="003E08A3" w:rsidRPr="00F03864">
        <w:rPr>
          <w:rFonts w:ascii="Times New Roman" w:eastAsia="SimSun" w:hAnsi="Times New Roman" w:cs="Times New Roman"/>
          <w:sz w:val="24"/>
          <w:szCs w:val="24"/>
        </w:rPr>
        <w:t xml:space="preserve">pasiguria e lartë, </w:t>
      </w:r>
      <w:r w:rsidRPr="00F03864">
        <w:rPr>
          <w:rFonts w:ascii="Times New Roman" w:eastAsia="SimSun" w:hAnsi="Times New Roman" w:cs="Times New Roman"/>
          <w:sz w:val="24"/>
          <w:szCs w:val="24"/>
        </w:rPr>
        <w:t xml:space="preserve">rritja e normës bazë të interesit në tregun vendas si edhe nga pritshmëritë për rritje të mëtejshme të normave të interesit në përgjigje të inflacionit të rritur. Banka e Shqipërisë ka rritur 5 herë normën bazë të interesit gjatë vitit 2022 duke aritur në nivelin prej 2.75%, krahasuar me 0.5% </w:t>
      </w:r>
      <w:r w:rsidR="00F30E8A" w:rsidRPr="00F03864">
        <w:rPr>
          <w:rFonts w:ascii="Times New Roman" w:eastAsia="SimSun" w:hAnsi="Times New Roman" w:cs="Times New Roman"/>
          <w:sz w:val="24"/>
          <w:szCs w:val="24"/>
        </w:rPr>
        <w:t xml:space="preserve">që ishte </w:t>
      </w:r>
      <w:r w:rsidRPr="00F03864">
        <w:rPr>
          <w:rFonts w:ascii="Times New Roman" w:eastAsia="SimSun" w:hAnsi="Times New Roman" w:cs="Times New Roman"/>
          <w:sz w:val="24"/>
          <w:szCs w:val="24"/>
        </w:rPr>
        <w:t xml:space="preserve">në </w:t>
      </w:r>
      <w:r w:rsidR="00F30E8A" w:rsidRPr="00F03864">
        <w:rPr>
          <w:rFonts w:ascii="Times New Roman" w:eastAsia="SimSun" w:hAnsi="Times New Roman" w:cs="Times New Roman"/>
          <w:sz w:val="24"/>
          <w:szCs w:val="24"/>
        </w:rPr>
        <w:t>fillim të vitit</w:t>
      </w:r>
      <w:r w:rsidRPr="00F03864">
        <w:rPr>
          <w:rFonts w:ascii="Times New Roman" w:eastAsia="SimSun" w:hAnsi="Times New Roman" w:cs="Times New Roman"/>
          <w:sz w:val="24"/>
          <w:szCs w:val="24"/>
        </w:rPr>
        <w:t>.</w:t>
      </w:r>
    </w:p>
    <w:p w14:paraId="1C1B1DCE" w14:textId="77777777" w:rsidR="00DB3C91" w:rsidRPr="00463687" w:rsidRDefault="00DB3C91" w:rsidP="003E3BAE">
      <w:pPr>
        <w:tabs>
          <w:tab w:val="left" w:pos="8789"/>
        </w:tabs>
        <w:spacing w:after="0" w:line="276" w:lineRule="auto"/>
        <w:ind w:right="-176"/>
        <w:contextualSpacing/>
        <w:jc w:val="both"/>
        <w:rPr>
          <w:rFonts w:ascii="Times New Roman" w:hAnsi="Times New Roman" w:cs="Times New Roman"/>
          <w:noProof/>
          <w:sz w:val="10"/>
          <w:szCs w:val="10"/>
          <w:highlight w:val="yellow"/>
        </w:rPr>
      </w:pPr>
    </w:p>
    <w:p w14:paraId="2D483B56" w14:textId="2B53DD17" w:rsidR="00DB3C91" w:rsidRPr="00660B87" w:rsidRDefault="00DB3C91" w:rsidP="003E3BAE">
      <w:pPr>
        <w:spacing w:after="0" w:line="276" w:lineRule="auto"/>
        <w:ind w:right="-176"/>
        <w:jc w:val="both"/>
        <w:rPr>
          <w:rFonts w:ascii="Times New Roman" w:eastAsia="Calibri" w:hAnsi="Times New Roman" w:cs="Times New Roman"/>
          <w:noProof/>
          <w:sz w:val="12"/>
          <w:szCs w:val="12"/>
          <w:lang w:eastAsia="ja-JP"/>
        </w:rPr>
      </w:pPr>
      <w:r w:rsidRPr="00660B87">
        <w:rPr>
          <w:rFonts w:ascii="Times New Roman" w:eastAsia="SimSun" w:hAnsi="Times New Roman" w:cs="Times New Roman"/>
          <w:sz w:val="24"/>
          <w:szCs w:val="24"/>
        </w:rPr>
        <w:t xml:space="preserve">Për sa i përket raporteve të kostos dhe riskut në portofolin e borxhit, </w:t>
      </w:r>
      <w:r w:rsidR="00781A04" w:rsidRPr="00660B87">
        <w:rPr>
          <w:rFonts w:ascii="Times New Roman" w:hAnsi="Times New Roman" w:cs="Times New Roman"/>
          <w:noProof/>
          <w:color w:val="000000"/>
          <w:sz w:val="24"/>
          <w:szCs w:val="23"/>
        </w:rPr>
        <w:t>p</w:t>
      </w:r>
      <w:r w:rsidR="00173E74" w:rsidRPr="00660B87">
        <w:rPr>
          <w:rFonts w:ascii="Times New Roman" w:hAnsi="Times New Roman" w:cs="Times New Roman"/>
          <w:noProof/>
          <w:color w:val="000000"/>
          <w:sz w:val="24"/>
          <w:szCs w:val="23"/>
        </w:rPr>
        <w:t xml:space="preserve">avarësisht se </w:t>
      </w:r>
      <w:r w:rsidR="00660B87" w:rsidRPr="00660B87">
        <w:rPr>
          <w:rFonts w:ascii="Times New Roman" w:hAnsi="Times New Roman" w:cs="Times New Roman"/>
          <w:noProof/>
          <w:color w:val="000000"/>
          <w:sz w:val="24"/>
          <w:szCs w:val="23"/>
        </w:rPr>
        <w:t>viti</w:t>
      </w:r>
      <w:r w:rsidR="008B0190" w:rsidRPr="00660B87">
        <w:rPr>
          <w:rFonts w:ascii="Times New Roman" w:hAnsi="Times New Roman" w:cs="Times New Roman"/>
          <w:noProof/>
          <w:color w:val="000000"/>
          <w:sz w:val="24"/>
          <w:szCs w:val="23"/>
        </w:rPr>
        <w:t xml:space="preserve"> </w:t>
      </w:r>
      <w:r w:rsidR="00173E74" w:rsidRPr="00660B87">
        <w:rPr>
          <w:rFonts w:ascii="Times New Roman" w:hAnsi="Times New Roman" w:cs="Times New Roman"/>
          <w:noProof/>
          <w:color w:val="000000"/>
          <w:sz w:val="24"/>
          <w:szCs w:val="23"/>
        </w:rPr>
        <w:t xml:space="preserve">2022 ka qenë </w:t>
      </w:r>
      <w:r w:rsidR="00781A04" w:rsidRPr="00660B87">
        <w:rPr>
          <w:rFonts w:ascii="Times New Roman" w:hAnsi="Times New Roman" w:cs="Times New Roman"/>
          <w:noProof/>
          <w:color w:val="000000"/>
          <w:sz w:val="24"/>
          <w:szCs w:val="23"/>
        </w:rPr>
        <w:t xml:space="preserve">një vit jo i zakonshëm, i ndikuar nga zhvillime jo të favorshme në tregjet financiare, </w:t>
      </w:r>
      <w:r w:rsidR="001425C2" w:rsidRPr="00660B87">
        <w:rPr>
          <w:rFonts w:ascii="Times New Roman" w:hAnsi="Times New Roman" w:cs="Times New Roman"/>
          <w:noProof/>
          <w:color w:val="000000"/>
          <w:sz w:val="24"/>
          <w:szCs w:val="23"/>
        </w:rPr>
        <w:t>ndër të cilat ritheksojmë</w:t>
      </w:r>
      <w:r w:rsidR="00781A04" w:rsidRPr="00660B87">
        <w:rPr>
          <w:rFonts w:ascii="Times New Roman" w:hAnsi="Times New Roman" w:cs="Times New Roman"/>
          <w:noProof/>
          <w:color w:val="000000"/>
          <w:sz w:val="24"/>
          <w:szCs w:val="23"/>
        </w:rPr>
        <w:t xml:space="preserve"> rritjen e normës bazë të interesit </w:t>
      </w:r>
      <w:r w:rsidR="001425C2" w:rsidRPr="00660B87">
        <w:rPr>
          <w:rFonts w:ascii="Times New Roman" w:hAnsi="Times New Roman" w:cs="Times New Roman"/>
          <w:noProof/>
          <w:color w:val="000000"/>
          <w:sz w:val="24"/>
          <w:szCs w:val="23"/>
        </w:rPr>
        <w:t>b</w:t>
      </w:r>
      <w:r w:rsidR="00781A04" w:rsidRPr="00660B87">
        <w:rPr>
          <w:rFonts w:ascii="Times New Roman" w:hAnsi="Times New Roman" w:cs="Times New Roman"/>
          <w:noProof/>
          <w:color w:val="000000"/>
          <w:sz w:val="24"/>
          <w:szCs w:val="23"/>
        </w:rPr>
        <w:t xml:space="preserve">renda vendit nga Banka Qendrore, politikë e cila është ndjekur gjithashtu </w:t>
      </w:r>
      <w:r w:rsidR="00F30E8A" w:rsidRPr="00660B87">
        <w:rPr>
          <w:rFonts w:ascii="Times New Roman" w:hAnsi="Times New Roman" w:cs="Times New Roman"/>
          <w:noProof/>
          <w:color w:val="000000"/>
          <w:sz w:val="24"/>
          <w:szCs w:val="23"/>
        </w:rPr>
        <w:t xml:space="preserve">edhe </w:t>
      </w:r>
      <w:r w:rsidR="00781A04" w:rsidRPr="00660B87">
        <w:rPr>
          <w:rFonts w:ascii="Times New Roman" w:hAnsi="Times New Roman" w:cs="Times New Roman"/>
          <w:noProof/>
          <w:color w:val="000000"/>
          <w:sz w:val="24"/>
          <w:szCs w:val="23"/>
        </w:rPr>
        <w:t>nga autoritetet ndërkombëtare</w:t>
      </w:r>
      <w:r w:rsidR="00F30E8A" w:rsidRPr="00660B87">
        <w:rPr>
          <w:rFonts w:ascii="Times New Roman" w:hAnsi="Times New Roman" w:cs="Times New Roman"/>
          <w:noProof/>
          <w:color w:val="000000"/>
          <w:sz w:val="24"/>
          <w:szCs w:val="23"/>
        </w:rPr>
        <w:t xml:space="preserve"> monetare</w:t>
      </w:r>
      <w:r w:rsidR="00781A04" w:rsidRPr="00660B87">
        <w:rPr>
          <w:rFonts w:ascii="Times New Roman" w:hAnsi="Times New Roman" w:cs="Times New Roman"/>
          <w:noProof/>
          <w:color w:val="000000"/>
          <w:sz w:val="24"/>
          <w:szCs w:val="23"/>
        </w:rPr>
        <w:t xml:space="preserve">, </w:t>
      </w:r>
      <w:r w:rsidR="00173E74" w:rsidRPr="00660B87">
        <w:rPr>
          <w:rFonts w:ascii="Times New Roman" w:hAnsi="Times New Roman" w:cs="Times New Roman"/>
          <w:noProof/>
          <w:color w:val="000000"/>
          <w:sz w:val="24"/>
          <w:szCs w:val="23"/>
        </w:rPr>
        <w:t>portofoli i borxhit të brendshëm është arritur të menaxhohet duke mbajtur n</w:t>
      </w:r>
      <w:r w:rsidR="009A5C48" w:rsidRPr="00660B87">
        <w:rPr>
          <w:rFonts w:ascii="Times New Roman" w:hAnsi="Times New Roman" w:cs="Times New Roman"/>
          <w:noProof/>
          <w:color w:val="000000"/>
          <w:sz w:val="24"/>
          <w:szCs w:val="23"/>
        </w:rPr>
        <w:t>ë</w:t>
      </w:r>
      <w:r w:rsidR="00173E74" w:rsidRPr="00660B87">
        <w:rPr>
          <w:rFonts w:ascii="Times New Roman" w:hAnsi="Times New Roman" w:cs="Times New Roman"/>
          <w:noProof/>
          <w:color w:val="000000"/>
          <w:sz w:val="24"/>
          <w:szCs w:val="23"/>
        </w:rPr>
        <w:t xml:space="preserve"> nivele t</w:t>
      </w:r>
      <w:r w:rsidR="009A5C48" w:rsidRPr="00660B87">
        <w:rPr>
          <w:rFonts w:ascii="Times New Roman" w:hAnsi="Times New Roman" w:cs="Times New Roman"/>
          <w:noProof/>
          <w:color w:val="000000"/>
          <w:sz w:val="24"/>
          <w:szCs w:val="23"/>
        </w:rPr>
        <w:t>ë</w:t>
      </w:r>
      <w:r w:rsidR="00173E74" w:rsidRPr="00660B87">
        <w:rPr>
          <w:rFonts w:ascii="Times New Roman" w:hAnsi="Times New Roman" w:cs="Times New Roman"/>
          <w:noProof/>
          <w:color w:val="000000"/>
          <w:sz w:val="24"/>
          <w:szCs w:val="23"/>
        </w:rPr>
        <w:t xml:space="preserve"> qendrueshme raportet e riskut, si dhe </w:t>
      </w:r>
      <w:r w:rsidR="00781A04" w:rsidRPr="00660B87">
        <w:rPr>
          <w:rFonts w:ascii="Times New Roman" w:hAnsi="Times New Roman" w:cs="Times New Roman"/>
          <w:noProof/>
          <w:color w:val="000000"/>
          <w:sz w:val="24"/>
          <w:szCs w:val="23"/>
        </w:rPr>
        <w:t>në drejtim të mbajtjes së kostove në nivelin më të ulët të mundshëm sipas kushteve të tregut</w:t>
      </w:r>
      <w:r w:rsidR="00173E74" w:rsidRPr="00660B87">
        <w:rPr>
          <w:rFonts w:ascii="Times New Roman" w:hAnsi="Times New Roman" w:cs="Times New Roman"/>
          <w:noProof/>
          <w:color w:val="000000"/>
          <w:sz w:val="24"/>
          <w:szCs w:val="23"/>
        </w:rPr>
        <w:t xml:space="preserve">. Krahasuar me </w:t>
      </w:r>
      <w:r w:rsidR="00660B87">
        <w:rPr>
          <w:rFonts w:ascii="Times New Roman" w:hAnsi="Times New Roman" w:cs="Times New Roman"/>
          <w:noProof/>
          <w:color w:val="000000"/>
          <w:sz w:val="24"/>
          <w:szCs w:val="23"/>
        </w:rPr>
        <w:t>vitin</w:t>
      </w:r>
      <w:r w:rsidR="00173E74" w:rsidRPr="00660B87">
        <w:rPr>
          <w:rFonts w:ascii="Times New Roman" w:hAnsi="Times New Roman" w:cs="Times New Roman"/>
          <w:noProof/>
          <w:color w:val="000000"/>
          <w:sz w:val="24"/>
          <w:szCs w:val="23"/>
        </w:rPr>
        <w:t xml:space="preserve"> 2021, shpenzimet për interesa vlerësohen rreth </w:t>
      </w:r>
      <w:r w:rsidR="009C12FC" w:rsidRPr="00660B87">
        <w:rPr>
          <w:rFonts w:ascii="Times New Roman" w:hAnsi="Times New Roman" w:cs="Times New Roman"/>
          <w:noProof/>
          <w:color w:val="000000"/>
          <w:sz w:val="24"/>
          <w:szCs w:val="23"/>
        </w:rPr>
        <w:t>3.8</w:t>
      </w:r>
      <w:r w:rsidR="00173E74" w:rsidRPr="00660B87">
        <w:rPr>
          <w:rFonts w:ascii="Times New Roman" w:hAnsi="Times New Roman" w:cs="Times New Roman"/>
          <w:noProof/>
          <w:color w:val="000000"/>
          <w:sz w:val="24"/>
          <w:szCs w:val="23"/>
        </w:rPr>
        <w:t xml:space="preserve"> miliard Lekë më të larta, kryesisht si rezultat i rritjes së stokut të borxhit në vlerë nominale si dhe rritjes s</w:t>
      </w:r>
      <w:r w:rsidR="009A5C48" w:rsidRPr="00660B87">
        <w:rPr>
          <w:rFonts w:ascii="Times New Roman" w:hAnsi="Times New Roman" w:cs="Times New Roman"/>
          <w:noProof/>
          <w:color w:val="000000"/>
          <w:sz w:val="24"/>
          <w:szCs w:val="23"/>
        </w:rPr>
        <w:t>ë</w:t>
      </w:r>
      <w:r w:rsidR="00173E74" w:rsidRPr="00660B87">
        <w:rPr>
          <w:rFonts w:ascii="Times New Roman" w:hAnsi="Times New Roman" w:cs="Times New Roman"/>
          <w:noProof/>
          <w:color w:val="000000"/>
          <w:sz w:val="24"/>
          <w:szCs w:val="23"/>
        </w:rPr>
        <w:t xml:space="preserve"> normave t</w:t>
      </w:r>
      <w:r w:rsidR="009A5C48" w:rsidRPr="00660B87">
        <w:rPr>
          <w:rFonts w:ascii="Times New Roman" w:hAnsi="Times New Roman" w:cs="Times New Roman"/>
          <w:noProof/>
          <w:color w:val="000000"/>
          <w:sz w:val="24"/>
          <w:szCs w:val="23"/>
        </w:rPr>
        <w:t>ë</w:t>
      </w:r>
      <w:r w:rsidR="00173E74" w:rsidRPr="00660B87">
        <w:rPr>
          <w:rFonts w:ascii="Times New Roman" w:hAnsi="Times New Roman" w:cs="Times New Roman"/>
          <w:noProof/>
          <w:color w:val="000000"/>
          <w:sz w:val="24"/>
          <w:szCs w:val="23"/>
        </w:rPr>
        <w:t xml:space="preserve"> interesit.</w:t>
      </w:r>
    </w:p>
    <w:p w14:paraId="78BF8F6B" w14:textId="77777777" w:rsidR="00173E74" w:rsidRPr="00463687" w:rsidRDefault="00173E74" w:rsidP="003E3BAE">
      <w:pPr>
        <w:tabs>
          <w:tab w:val="left" w:pos="8647"/>
          <w:tab w:val="left" w:pos="8789"/>
        </w:tabs>
        <w:spacing w:after="0" w:line="276" w:lineRule="auto"/>
        <w:ind w:right="-176"/>
        <w:jc w:val="both"/>
        <w:rPr>
          <w:rFonts w:ascii="Times New Roman" w:hAnsi="Times New Roman" w:cs="Times New Roman"/>
          <w:noProof/>
          <w:color w:val="000000"/>
          <w:sz w:val="10"/>
          <w:szCs w:val="10"/>
          <w:highlight w:val="yellow"/>
        </w:rPr>
      </w:pPr>
    </w:p>
    <w:p w14:paraId="0D64CCE3" w14:textId="746487DF" w:rsidR="004F7AA9" w:rsidRDefault="00DB3C91" w:rsidP="003E3BAE">
      <w:pPr>
        <w:spacing w:after="0" w:line="276" w:lineRule="auto"/>
        <w:ind w:right="-176"/>
        <w:jc w:val="both"/>
        <w:rPr>
          <w:rFonts w:ascii="Cambria" w:hAnsi="Cambria"/>
          <w:sz w:val="24"/>
          <w:szCs w:val="24"/>
        </w:rPr>
      </w:pPr>
      <w:r w:rsidRPr="00660B87">
        <w:rPr>
          <w:rFonts w:ascii="Times New Roman" w:hAnsi="Times New Roman" w:cs="Times New Roman"/>
          <w:noProof/>
          <w:color w:val="000000"/>
          <w:sz w:val="24"/>
          <w:szCs w:val="23"/>
        </w:rPr>
        <w:t xml:space="preserve">Në vazhdim të angazhimit të ndërmarrë në lidhje me përmirësimin e mëtejshëm të tregut primar dhe zhvillimin e tregut sekondar të titujve shtetërorë, përgjatë </w:t>
      </w:r>
      <w:r w:rsidR="008B0190" w:rsidRPr="00660B87">
        <w:rPr>
          <w:rFonts w:ascii="Times New Roman" w:hAnsi="Times New Roman" w:cs="Times New Roman"/>
          <w:noProof/>
          <w:color w:val="000000"/>
          <w:sz w:val="24"/>
          <w:szCs w:val="23"/>
        </w:rPr>
        <w:t xml:space="preserve"> </w:t>
      </w:r>
      <w:r w:rsidRPr="00660B87">
        <w:rPr>
          <w:rFonts w:ascii="Times New Roman" w:hAnsi="Times New Roman" w:cs="Times New Roman"/>
          <w:noProof/>
          <w:color w:val="000000"/>
          <w:sz w:val="24"/>
          <w:szCs w:val="23"/>
        </w:rPr>
        <w:t xml:space="preserve">vitit 2022 është vijuar me praktikat që kontribuojnë në krijimin e madhësive referencë dhe konsolidimin e kurbës së yield-it në segmentin e titujve shtetërorë afatmesëm dhe afatgjatë. </w:t>
      </w:r>
      <w:bookmarkStart w:id="2" w:name="_Toc34645061"/>
      <w:r w:rsidR="00660B87">
        <w:rPr>
          <w:rFonts w:ascii="Times New Roman" w:hAnsi="Times New Roman" w:cs="Times New Roman"/>
          <w:noProof/>
          <w:color w:val="000000"/>
          <w:sz w:val="24"/>
          <w:szCs w:val="23"/>
        </w:rPr>
        <w:t>Gjthashtu në dhjetor 2022, MFE</w:t>
      </w:r>
      <w:r w:rsidR="00660B87" w:rsidRPr="00660B87">
        <w:rPr>
          <w:rFonts w:ascii="Times New Roman" w:hAnsi="Times New Roman" w:cs="Times New Roman"/>
          <w:noProof/>
          <w:color w:val="000000"/>
          <w:sz w:val="24"/>
          <w:szCs w:val="23"/>
        </w:rPr>
        <w:t xml:space="preserve"> hartoi dhe publikoi për herë të parë një Plan </w:t>
      </w:r>
      <w:r w:rsidR="00952F19">
        <w:rPr>
          <w:rFonts w:ascii="Times New Roman" w:hAnsi="Times New Roman" w:cs="Times New Roman"/>
          <w:noProof/>
          <w:color w:val="000000"/>
          <w:sz w:val="24"/>
          <w:szCs w:val="23"/>
        </w:rPr>
        <w:t>Vjetor Huamarrje për vitin 2023</w:t>
      </w:r>
      <w:r w:rsidR="00660B87" w:rsidRPr="00660B87">
        <w:rPr>
          <w:rFonts w:ascii="Times New Roman" w:hAnsi="Times New Roman" w:cs="Times New Roman"/>
          <w:noProof/>
          <w:color w:val="000000"/>
          <w:sz w:val="24"/>
          <w:szCs w:val="23"/>
        </w:rPr>
        <w:t>.  Plani Vjetor i Huamarrjes për vitin 2023, i përgatitur me asistencën e Bankës Botërore, synon të mbështesë aktivitetin e huamarrjes vjetore të Ministrisë së Financave dhe Ekonomisë, si dhe të rrisë transparencën kundrejt investitorëve.</w:t>
      </w:r>
      <w:bookmarkEnd w:id="2"/>
    </w:p>
    <w:p w14:paraId="07FD4E5B" w14:textId="77777777" w:rsidR="00660B87" w:rsidRPr="00D713DD" w:rsidRDefault="00660B87" w:rsidP="006D6418">
      <w:pPr>
        <w:spacing w:after="0" w:line="276" w:lineRule="auto"/>
        <w:ind w:right="-176"/>
        <w:jc w:val="both"/>
        <w:rPr>
          <w:rFonts w:ascii="Cambria" w:hAnsi="Cambria"/>
          <w:sz w:val="24"/>
          <w:szCs w:val="24"/>
        </w:rPr>
      </w:pPr>
    </w:p>
    <w:p w14:paraId="46A6C02E" w14:textId="77777777" w:rsidR="00660B87" w:rsidRPr="00660B87" w:rsidRDefault="00660B87" w:rsidP="00660B87">
      <w:pPr>
        <w:keepNext/>
        <w:keepLines/>
        <w:numPr>
          <w:ilvl w:val="0"/>
          <w:numId w:val="5"/>
        </w:numPr>
        <w:spacing w:after="240" w:line="276" w:lineRule="auto"/>
        <w:ind w:left="426" w:right="-46" w:hanging="426"/>
        <w:jc w:val="both"/>
        <w:outlineLvl w:val="0"/>
        <w:rPr>
          <w:rFonts w:ascii="Cambria" w:eastAsiaTheme="majorEastAsia" w:hAnsi="Cambria" w:cstheme="majorBidi"/>
          <w:b/>
          <w:color w:val="A40000"/>
          <w:sz w:val="24"/>
          <w:szCs w:val="24"/>
        </w:rPr>
      </w:pPr>
      <w:r w:rsidRPr="00660B87">
        <w:rPr>
          <w:rFonts w:ascii="Cambria" w:eastAsiaTheme="majorEastAsia" w:hAnsi="Cambria" w:cstheme="majorBidi"/>
          <w:b/>
          <w:color w:val="A40000"/>
          <w:sz w:val="24"/>
          <w:szCs w:val="24"/>
        </w:rPr>
        <w:lastRenderedPageBreak/>
        <w:t>Ecuria e Borxhit Publik</w:t>
      </w:r>
    </w:p>
    <w:p w14:paraId="66C326B0" w14:textId="6AE5EFB1" w:rsidR="00DB3C91" w:rsidRDefault="00DB3C91" w:rsidP="00DB3C91">
      <w:pPr>
        <w:pStyle w:val="ListParagraph"/>
        <w:spacing w:after="0" w:line="276" w:lineRule="auto"/>
        <w:ind w:left="0" w:right="-188"/>
        <w:jc w:val="both"/>
        <w:rPr>
          <w:rFonts w:ascii="Times New Roman" w:hAnsi="Times New Roman" w:cs="Times New Roman"/>
          <w:noProof/>
          <w:sz w:val="24"/>
          <w:szCs w:val="24"/>
        </w:rPr>
      </w:pPr>
      <w:r w:rsidRPr="00DB3C91">
        <w:rPr>
          <w:rFonts w:ascii="Times New Roman" w:hAnsi="Times New Roman" w:cs="Times New Roman"/>
          <w:noProof/>
          <w:sz w:val="24"/>
          <w:szCs w:val="24"/>
        </w:rPr>
        <w:t xml:space="preserve">Në fund të muajit </w:t>
      </w:r>
      <w:r w:rsidR="00C91F6E">
        <w:rPr>
          <w:rFonts w:ascii="Times New Roman" w:hAnsi="Times New Roman" w:cs="Times New Roman"/>
          <w:noProof/>
          <w:sz w:val="24"/>
          <w:szCs w:val="24"/>
        </w:rPr>
        <w:t>dhjetor</w:t>
      </w:r>
      <w:r w:rsidRPr="00DB3C91">
        <w:rPr>
          <w:rFonts w:ascii="Times New Roman" w:hAnsi="Times New Roman" w:cs="Times New Roman"/>
          <w:noProof/>
          <w:sz w:val="24"/>
          <w:szCs w:val="24"/>
        </w:rPr>
        <w:t xml:space="preserve"> 2022, borxhi </w:t>
      </w:r>
      <w:r>
        <w:rPr>
          <w:rFonts w:ascii="Times New Roman" w:hAnsi="Times New Roman" w:cs="Times New Roman"/>
          <w:noProof/>
          <w:sz w:val="24"/>
          <w:szCs w:val="24"/>
        </w:rPr>
        <w:t>publik</w:t>
      </w:r>
      <w:r w:rsidRPr="00DB3C91">
        <w:rPr>
          <w:rFonts w:ascii="Times New Roman" w:hAnsi="Times New Roman" w:cs="Times New Roman"/>
          <w:noProof/>
          <w:sz w:val="24"/>
          <w:szCs w:val="24"/>
        </w:rPr>
        <w:t xml:space="preserve"> u vlerësua në nivelin </w:t>
      </w:r>
      <w:r w:rsidR="00C91F6E">
        <w:rPr>
          <w:rFonts w:ascii="Times New Roman" w:hAnsi="Times New Roman" w:cs="Times New Roman"/>
          <w:noProof/>
          <w:sz w:val="24"/>
          <w:szCs w:val="24"/>
        </w:rPr>
        <w:t xml:space="preserve">1,378.6 </w:t>
      </w:r>
      <w:r w:rsidRPr="00DB3C91">
        <w:rPr>
          <w:rFonts w:ascii="Times New Roman" w:hAnsi="Times New Roman" w:cs="Times New Roman"/>
          <w:noProof/>
          <w:sz w:val="24"/>
          <w:szCs w:val="24"/>
        </w:rPr>
        <w:t xml:space="preserve">miliard Lekë ose </w:t>
      </w:r>
      <w:r w:rsidR="00C91F6E">
        <w:rPr>
          <w:rFonts w:ascii="Times New Roman" w:hAnsi="Times New Roman" w:cs="Times New Roman"/>
          <w:noProof/>
          <w:sz w:val="24"/>
          <w:szCs w:val="24"/>
        </w:rPr>
        <w:t>64</w:t>
      </w:r>
      <w:r w:rsidR="008B0190">
        <w:rPr>
          <w:rFonts w:ascii="Times New Roman" w:hAnsi="Times New Roman" w:cs="Times New Roman"/>
          <w:noProof/>
          <w:sz w:val="24"/>
          <w:szCs w:val="24"/>
        </w:rPr>
        <w:t>.</w:t>
      </w:r>
      <w:r w:rsidR="00C91F6E">
        <w:rPr>
          <w:rFonts w:ascii="Times New Roman" w:hAnsi="Times New Roman" w:cs="Times New Roman"/>
          <w:noProof/>
          <w:sz w:val="24"/>
          <w:szCs w:val="24"/>
        </w:rPr>
        <w:t>6</w:t>
      </w:r>
      <w:r w:rsidRPr="00DB3C91">
        <w:rPr>
          <w:rFonts w:ascii="Times New Roman" w:hAnsi="Times New Roman" w:cs="Times New Roman"/>
          <w:noProof/>
          <w:sz w:val="24"/>
          <w:szCs w:val="24"/>
        </w:rPr>
        <w:t>% e PBB</w:t>
      </w:r>
      <w:r w:rsidR="00952F19">
        <w:rPr>
          <w:rStyle w:val="FootnoteReference"/>
          <w:rFonts w:ascii="Times New Roman" w:hAnsi="Times New Roman" w:cs="Times New Roman"/>
          <w:noProof/>
          <w:sz w:val="24"/>
          <w:szCs w:val="24"/>
        </w:rPr>
        <w:footnoteReference w:id="1"/>
      </w:r>
      <w:r w:rsidRPr="00DB3C91">
        <w:rPr>
          <w:rFonts w:ascii="Times New Roman" w:hAnsi="Times New Roman" w:cs="Times New Roman"/>
          <w:noProof/>
          <w:sz w:val="24"/>
          <w:szCs w:val="24"/>
        </w:rPr>
        <w:t xml:space="preserve">. Niveli i borxhit ndaj PBB-së u ul me </w:t>
      </w:r>
      <w:r w:rsidR="00C91F6E">
        <w:rPr>
          <w:rFonts w:ascii="Times New Roman" w:hAnsi="Times New Roman" w:cs="Times New Roman"/>
          <w:noProof/>
          <w:sz w:val="24"/>
          <w:szCs w:val="24"/>
        </w:rPr>
        <w:t>9.9</w:t>
      </w:r>
      <w:r w:rsidRPr="00DB3C91">
        <w:rPr>
          <w:rFonts w:ascii="Times New Roman" w:hAnsi="Times New Roman" w:cs="Times New Roman"/>
          <w:noProof/>
          <w:sz w:val="24"/>
          <w:szCs w:val="24"/>
        </w:rPr>
        <w:t xml:space="preserve"> p</w:t>
      </w:r>
      <w:r w:rsidR="00623780">
        <w:rPr>
          <w:rFonts w:ascii="Times New Roman" w:hAnsi="Times New Roman" w:cs="Times New Roman"/>
          <w:noProof/>
          <w:sz w:val="24"/>
          <w:szCs w:val="24"/>
        </w:rPr>
        <w:t>.</w:t>
      </w:r>
      <w:r w:rsidRPr="00DB3C91">
        <w:rPr>
          <w:rFonts w:ascii="Times New Roman" w:hAnsi="Times New Roman" w:cs="Times New Roman"/>
          <w:noProof/>
          <w:sz w:val="24"/>
          <w:szCs w:val="24"/>
        </w:rPr>
        <w:t>p</w:t>
      </w:r>
      <w:r w:rsidR="00623780">
        <w:rPr>
          <w:rFonts w:ascii="Times New Roman" w:hAnsi="Times New Roman" w:cs="Times New Roman"/>
          <w:noProof/>
          <w:sz w:val="24"/>
          <w:szCs w:val="24"/>
        </w:rPr>
        <w:t>.</w:t>
      </w:r>
      <w:r w:rsidRPr="00DB3C91">
        <w:rPr>
          <w:rFonts w:ascii="Times New Roman" w:hAnsi="Times New Roman" w:cs="Times New Roman"/>
          <w:noProof/>
          <w:sz w:val="24"/>
          <w:szCs w:val="24"/>
        </w:rPr>
        <w:t xml:space="preserve"> krahasuar me fu</w:t>
      </w:r>
      <w:r w:rsidR="00463687">
        <w:rPr>
          <w:rFonts w:ascii="Times New Roman" w:hAnsi="Times New Roman" w:cs="Times New Roman"/>
          <w:noProof/>
          <w:sz w:val="24"/>
          <w:szCs w:val="24"/>
        </w:rPr>
        <w:t>ndin e 2021</w:t>
      </w:r>
      <w:r w:rsidRPr="00DB3C91">
        <w:rPr>
          <w:rFonts w:ascii="Times New Roman" w:hAnsi="Times New Roman" w:cs="Times New Roman"/>
          <w:noProof/>
          <w:sz w:val="24"/>
          <w:szCs w:val="24"/>
        </w:rPr>
        <w:t xml:space="preserve">. Në terma nominalë, niveli i borxhit </w:t>
      </w:r>
      <w:r w:rsidR="002B650D">
        <w:rPr>
          <w:rFonts w:ascii="Times New Roman" w:hAnsi="Times New Roman" w:cs="Times New Roman"/>
          <w:noProof/>
          <w:sz w:val="24"/>
          <w:szCs w:val="24"/>
        </w:rPr>
        <w:t>gjat</w:t>
      </w:r>
      <w:r w:rsidR="009A5C48">
        <w:rPr>
          <w:rFonts w:ascii="Times New Roman" w:hAnsi="Times New Roman" w:cs="Times New Roman"/>
          <w:noProof/>
          <w:sz w:val="24"/>
          <w:szCs w:val="24"/>
        </w:rPr>
        <w:t>ë</w:t>
      </w:r>
      <w:r w:rsidR="002B650D">
        <w:rPr>
          <w:rFonts w:ascii="Times New Roman" w:hAnsi="Times New Roman" w:cs="Times New Roman"/>
          <w:noProof/>
          <w:sz w:val="24"/>
          <w:szCs w:val="24"/>
        </w:rPr>
        <w:t xml:space="preserve"> </w:t>
      </w:r>
      <w:r w:rsidR="00463687">
        <w:rPr>
          <w:rFonts w:ascii="Times New Roman" w:hAnsi="Times New Roman" w:cs="Times New Roman"/>
          <w:noProof/>
          <w:sz w:val="24"/>
          <w:szCs w:val="24"/>
        </w:rPr>
        <w:t>vitit</w:t>
      </w:r>
      <w:r w:rsidR="002B650D">
        <w:rPr>
          <w:rFonts w:ascii="Times New Roman" w:hAnsi="Times New Roman" w:cs="Times New Roman"/>
          <w:noProof/>
          <w:sz w:val="24"/>
          <w:szCs w:val="24"/>
        </w:rPr>
        <w:t xml:space="preserve"> </w:t>
      </w:r>
      <w:r>
        <w:rPr>
          <w:rFonts w:ascii="Times New Roman" w:hAnsi="Times New Roman" w:cs="Times New Roman"/>
          <w:noProof/>
          <w:sz w:val="24"/>
          <w:szCs w:val="24"/>
        </w:rPr>
        <w:t xml:space="preserve">2022 është </w:t>
      </w:r>
      <w:r w:rsidR="00035E41">
        <w:rPr>
          <w:rFonts w:ascii="Times New Roman" w:hAnsi="Times New Roman" w:cs="Times New Roman"/>
          <w:noProof/>
          <w:sz w:val="24"/>
          <w:szCs w:val="24"/>
        </w:rPr>
        <w:t>ulur</w:t>
      </w:r>
      <w:r>
        <w:rPr>
          <w:rFonts w:ascii="Times New Roman" w:hAnsi="Times New Roman" w:cs="Times New Roman"/>
          <w:noProof/>
          <w:sz w:val="24"/>
          <w:szCs w:val="24"/>
        </w:rPr>
        <w:t xml:space="preserve"> me </w:t>
      </w:r>
      <w:r w:rsidR="00035E41">
        <w:rPr>
          <w:rFonts w:ascii="Times New Roman" w:hAnsi="Times New Roman" w:cs="Times New Roman"/>
          <w:noProof/>
          <w:sz w:val="24"/>
          <w:szCs w:val="24"/>
        </w:rPr>
        <w:t>4</w:t>
      </w:r>
      <w:r w:rsidR="00463687">
        <w:rPr>
          <w:rFonts w:ascii="Times New Roman" w:hAnsi="Times New Roman" w:cs="Times New Roman"/>
          <w:noProof/>
          <w:sz w:val="24"/>
          <w:szCs w:val="24"/>
        </w:rPr>
        <w:t>.3</w:t>
      </w:r>
      <w:r w:rsidRPr="00DB3C91">
        <w:rPr>
          <w:rFonts w:ascii="Times New Roman" w:hAnsi="Times New Roman" w:cs="Times New Roman"/>
          <w:noProof/>
          <w:sz w:val="24"/>
          <w:szCs w:val="24"/>
        </w:rPr>
        <w:t xml:space="preserve"> miliardë lekë k</w:t>
      </w:r>
      <w:r w:rsidR="00463687">
        <w:rPr>
          <w:rFonts w:ascii="Times New Roman" w:hAnsi="Times New Roman" w:cs="Times New Roman"/>
          <w:noProof/>
          <w:sz w:val="24"/>
          <w:szCs w:val="24"/>
        </w:rPr>
        <w:t>rahasuar me fundin e vitit 2021</w:t>
      </w:r>
      <w:r w:rsidRPr="00DB3C91">
        <w:rPr>
          <w:rFonts w:ascii="Times New Roman" w:hAnsi="Times New Roman" w:cs="Times New Roman"/>
          <w:noProof/>
          <w:sz w:val="24"/>
          <w:szCs w:val="24"/>
        </w:rPr>
        <w:t xml:space="preserve">. </w:t>
      </w:r>
      <w:r w:rsidR="00675084" w:rsidRPr="00675084">
        <w:rPr>
          <w:rFonts w:ascii="Times New Roman" w:hAnsi="Times New Roman" w:cs="Times New Roman"/>
          <w:noProof/>
          <w:sz w:val="24"/>
          <w:szCs w:val="24"/>
        </w:rPr>
        <w:t>Është llogaritur një efekt i kursit të këmbimit në portofolin e borxhit të shprehur në valutë prej rreth 31.7 miliardë lekësh, ose rreth 1.5% të PBB-së</w:t>
      </w:r>
      <w:r w:rsidR="00CD691A">
        <w:rPr>
          <w:rFonts w:ascii="Times New Roman" w:hAnsi="Times New Roman" w:cs="Times New Roman"/>
          <w:noProof/>
          <w:sz w:val="24"/>
          <w:szCs w:val="24"/>
        </w:rPr>
        <w:t>.</w:t>
      </w:r>
    </w:p>
    <w:p w14:paraId="6A4C0AC0" w14:textId="77777777" w:rsidR="00DB3C91" w:rsidRDefault="00DB3C91" w:rsidP="00DB3C91">
      <w:pPr>
        <w:pStyle w:val="ListParagraph"/>
        <w:spacing w:after="0" w:line="276" w:lineRule="auto"/>
        <w:ind w:left="0" w:right="-188"/>
        <w:jc w:val="center"/>
        <w:rPr>
          <w:rFonts w:ascii="Times New Roman" w:hAnsi="Times New Roman" w:cs="Times New Roman"/>
          <w:noProof/>
          <w:sz w:val="24"/>
          <w:szCs w:val="24"/>
        </w:rPr>
      </w:pPr>
    </w:p>
    <w:p w14:paraId="1032B246" w14:textId="3AE7457B" w:rsidR="00640A13" w:rsidRPr="00DB3C91" w:rsidRDefault="00640A13" w:rsidP="00DB3C91">
      <w:pPr>
        <w:pStyle w:val="ListParagraph"/>
        <w:spacing w:after="0" w:line="276" w:lineRule="auto"/>
        <w:ind w:left="0" w:right="-188"/>
        <w:jc w:val="center"/>
        <w:rPr>
          <w:rFonts w:ascii="Cambria" w:hAnsi="Cambria" w:cs="Times New Roman"/>
          <w:i/>
          <w:noProof/>
          <w:sz w:val="20"/>
          <w:szCs w:val="20"/>
        </w:rPr>
      </w:pPr>
      <w:r w:rsidRPr="00DB3C91">
        <w:rPr>
          <w:rFonts w:ascii="Cambria" w:hAnsi="Cambria" w:cs="Times New Roman"/>
          <w:b/>
          <w:noProof/>
          <w:sz w:val="20"/>
          <w:szCs w:val="20"/>
        </w:rPr>
        <w:t xml:space="preserve">Paraqitje Grafike 1 (a): </w:t>
      </w:r>
      <w:r w:rsidRPr="00DB3C91">
        <w:rPr>
          <w:rFonts w:ascii="Cambria" w:hAnsi="Cambria" w:cs="Times New Roman"/>
          <w:i/>
          <w:noProof/>
          <w:sz w:val="20"/>
          <w:szCs w:val="20"/>
        </w:rPr>
        <w:t>Borxhi publik në vlerë abso</w:t>
      </w:r>
      <w:r w:rsidR="00914381" w:rsidRPr="00DB3C91">
        <w:rPr>
          <w:rFonts w:ascii="Cambria" w:hAnsi="Cambria" w:cs="Times New Roman"/>
          <w:i/>
          <w:noProof/>
          <w:sz w:val="20"/>
          <w:szCs w:val="20"/>
        </w:rPr>
        <w:t>lute dhe relative ndaj PBB (201</w:t>
      </w:r>
      <w:r w:rsidR="004C6FB1">
        <w:rPr>
          <w:rFonts w:ascii="Cambria" w:hAnsi="Cambria" w:cs="Times New Roman"/>
          <w:i/>
          <w:noProof/>
          <w:sz w:val="20"/>
          <w:szCs w:val="20"/>
        </w:rPr>
        <w:t>8-</w:t>
      </w:r>
      <w:r w:rsidR="000451FF" w:rsidRPr="00DB3C91">
        <w:rPr>
          <w:rFonts w:ascii="Cambria" w:hAnsi="Cambria" w:cs="Times New Roman"/>
          <w:i/>
          <w:noProof/>
          <w:sz w:val="20"/>
          <w:szCs w:val="20"/>
        </w:rPr>
        <w:t>2022</w:t>
      </w:r>
      <w:r w:rsidRPr="00DB3C91">
        <w:rPr>
          <w:rFonts w:ascii="Cambria" w:hAnsi="Cambria" w:cs="Times New Roman"/>
          <w:i/>
          <w:noProof/>
          <w:sz w:val="20"/>
          <w:szCs w:val="20"/>
        </w:rPr>
        <w:t>)</w:t>
      </w:r>
    </w:p>
    <w:p w14:paraId="03EDDFB4" w14:textId="37157472" w:rsidR="00B45BD2" w:rsidRPr="00DB3C91" w:rsidRDefault="00463687" w:rsidP="00B92540">
      <w:pPr>
        <w:pStyle w:val="ListParagraph"/>
        <w:spacing w:after="0" w:line="276" w:lineRule="auto"/>
        <w:ind w:left="0" w:right="-188"/>
        <w:jc w:val="center"/>
        <w:rPr>
          <w:rFonts w:ascii="Times New Roman" w:hAnsi="Times New Roman" w:cs="Times New Roman"/>
          <w:noProof/>
          <w:sz w:val="24"/>
          <w:szCs w:val="24"/>
        </w:rPr>
      </w:pPr>
      <w:r w:rsidRPr="00463687">
        <w:rPr>
          <w:rFonts w:ascii="Times New Roman" w:hAnsi="Times New Roman" w:cs="Times New Roman"/>
          <w:noProof/>
          <w:sz w:val="24"/>
          <w:szCs w:val="24"/>
          <w:lang w:val="en-US"/>
        </w:rPr>
        <w:drawing>
          <wp:inline distT="0" distB="0" distL="0" distR="0" wp14:anchorId="4D2110B4" wp14:editId="3E80529E">
            <wp:extent cx="5829300" cy="2266544"/>
            <wp:effectExtent l="0" t="0" r="0" b="635"/>
            <wp:docPr id="15" name="Chart 1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ABBFAD" w14:textId="57DDB76E" w:rsidR="00640A13" w:rsidRPr="00DB3C91" w:rsidRDefault="00640A13" w:rsidP="00B92540">
      <w:pPr>
        <w:pStyle w:val="ListParagraph"/>
        <w:spacing w:after="0" w:line="276" w:lineRule="auto"/>
        <w:ind w:left="0" w:right="-188"/>
        <w:jc w:val="center"/>
        <w:rPr>
          <w:i/>
          <w:noProof/>
          <w:lang w:eastAsia="sq-AL"/>
        </w:rPr>
      </w:pPr>
      <w:r w:rsidRPr="00DB3C91">
        <w:rPr>
          <w:rFonts w:ascii="Cambria" w:hAnsi="Cambria" w:cs="Times New Roman"/>
          <w:b/>
          <w:noProof/>
          <w:sz w:val="20"/>
          <w:szCs w:val="20"/>
        </w:rPr>
        <w:t xml:space="preserve">Burimi: </w:t>
      </w:r>
      <w:r w:rsidRPr="00DB3C91">
        <w:rPr>
          <w:rFonts w:ascii="Cambria" w:hAnsi="Cambria" w:cs="Times New Roman"/>
          <w:i/>
          <w:noProof/>
          <w:sz w:val="20"/>
          <w:szCs w:val="20"/>
        </w:rPr>
        <w:t>Ministria e Financave dhe Ekonomisë (202</w:t>
      </w:r>
      <w:r w:rsidR="004C6FB1">
        <w:rPr>
          <w:rFonts w:ascii="Cambria" w:hAnsi="Cambria" w:cs="Times New Roman"/>
          <w:i/>
          <w:noProof/>
          <w:sz w:val="20"/>
          <w:szCs w:val="20"/>
        </w:rPr>
        <w:t>3</w:t>
      </w:r>
      <w:r w:rsidRPr="00DB3C91">
        <w:rPr>
          <w:rFonts w:ascii="Cambria" w:hAnsi="Cambria" w:cs="Times New Roman"/>
          <w:i/>
          <w:noProof/>
          <w:sz w:val="20"/>
          <w:szCs w:val="20"/>
        </w:rPr>
        <w:t>)</w:t>
      </w:r>
    </w:p>
    <w:p w14:paraId="72E52E08" w14:textId="77777777" w:rsidR="00640A13" w:rsidRPr="00DB3C91" w:rsidRDefault="00640A13" w:rsidP="00B92540">
      <w:pPr>
        <w:pStyle w:val="ListParagraph"/>
        <w:spacing w:after="0" w:line="276" w:lineRule="auto"/>
        <w:ind w:left="0" w:right="-188"/>
        <w:rPr>
          <w:i/>
          <w:noProof/>
          <w:sz w:val="20"/>
          <w:szCs w:val="20"/>
          <w:highlight w:val="yellow"/>
          <w:lang w:eastAsia="sq-AL"/>
        </w:rPr>
      </w:pPr>
    </w:p>
    <w:p w14:paraId="41CD35B8" w14:textId="195EF571" w:rsidR="00B45BD2" w:rsidRDefault="001A79D7" w:rsidP="00145981">
      <w:pPr>
        <w:tabs>
          <w:tab w:val="left" w:pos="990"/>
          <w:tab w:val="left" w:pos="1080"/>
        </w:tabs>
        <w:spacing w:line="276" w:lineRule="auto"/>
        <w:ind w:right="-46"/>
        <w:contextualSpacing/>
        <w:jc w:val="both"/>
        <w:rPr>
          <w:rFonts w:ascii="Times New Roman" w:eastAsia="SimSun" w:hAnsi="Times New Roman" w:cs="Times New Roman"/>
          <w:sz w:val="24"/>
          <w:szCs w:val="24"/>
        </w:rPr>
      </w:pPr>
      <w:r w:rsidRPr="001A79D7">
        <w:rPr>
          <w:rFonts w:ascii="Times New Roman" w:hAnsi="Times New Roman" w:cs="Times New Roman"/>
          <w:noProof/>
          <w:sz w:val="24"/>
          <w:szCs w:val="24"/>
        </w:rPr>
        <w:t xml:space="preserve">Për sa i përket kompozimit të portofolit të borxhit </w:t>
      </w:r>
      <w:r>
        <w:rPr>
          <w:rFonts w:ascii="Times New Roman" w:hAnsi="Times New Roman" w:cs="Times New Roman"/>
          <w:noProof/>
          <w:sz w:val="24"/>
          <w:szCs w:val="24"/>
        </w:rPr>
        <w:t>publik</w:t>
      </w:r>
      <w:r w:rsidRPr="001A79D7">
        <w:rPr>
          <w:rFonts w:ascii="Times New Roman" w:hAnsi="Times New Roman" w:cs="Times New Roman"/>
          <w:noProof/>
          <w:sz w:val="24"/>
          <w:szCs w:val="24"/>
        </w:rPr>
        <w:t xml:space="preserve"> sipas instrumenteve, më shumë se 60% të peshës vazhdojnë ta mbajnë instrumentet e tregtueshme (</w:t>
      </w:r>
      <w:r w:rsidRPr="001A79D7">
        <w:rPr>
          <w:rFonts w:ascii="Times New Roman" w:hAnsi="Times New Roman" w:cs="Times New Roman"/>
          <w:i/>
          <w:noProof/>
          <w:sz w:val="24"/>
          <w:szCs w:val="24"/>
        </w:rPr>
        <w:t>bono thesari, obligacione, eurobond</w:t>
      </w:r>
      <w:r w:rsidRPr="001A79D7">
        <w:rPr>
          <w:rFonts w:ascii="Times New Roman" w:hAnsi="Times New Roman" w:cs="Times New Roman"/>
          <w:noProof/>
          <w:sz w:val="24"/>
          <w:szCs w:val="24"/>
        </w:rPr>
        <w:t>). Pesha e  instrumenteve të tregtueshme</w:t>
      </w:r>
      <w:r w:rsidR="0035043B">
        <w:rPr>
          <w:rFonts w:ascii="Times New Roman" w:eastAsia="SimSun" w:hAnsi="Times New Roman" w:cs="Times New Roman"/>
          <w:sz w:val="24"/>
          <w:szCs w:val="24"/>
        </w:rPr>
        <w:t xml:space="preserve"> vlerësohet të jetë në rri</w:t>
      </w:r>
      <w:r w:rsidRPr="001A79D7">
        <w:rPr>
          <w:rFonts w:ascii="Times New Roman" w:eastAsia="SimSun" w:hAnsi="Times New Roman" w:cs="Times New Roman"/>
          <w:sz w:val="24"/>
          <w:szCs w:val="24"/>
        </w:rPr>
        <w:t>tje nga viti në vit kryesisht për shkak të emetimeve më të shpeshta në tregjet ndërkombëtare, por edhe për shkak të rritjes së huamarrjes në tregun e brendshëm bazuar në rritjen e nevojave për financim gjatë viteve të fundit duke filluar nga viti 2020.</w:t>
      </w:r>
    </w:p>
    <w:p w14:paraId="6AFA9D88" w14:textId="77777777" w:rsidR="00145981" w:rsidRPr="00145981" w:rsidRDefault="00145981" w:rsidP="00145981">
      <w:pPr>
        <w:tabs>
          <w:tab w:val="left" w:pos="990"/>
          <w:tab w:val="left" w:pos="1080"/>
        </w:tabs>
        <w:spacing w:line="276" w:lineRule="auto"/>
        <w:ind w:right="-46"/>
        <w:contextualSpacing/>
        <w:jc w:val="both"/>
        <w:rPr>
          <w:rFonts w:ascii="Times New Roman" w:hAnsi="Times New Roman" w:cs="Times New Roman"/>
          <w:noProof/>
          <w:sz w:val="24"/>
          <w:szCs w:val="24"/>
        </w:rPr>
      </w:pPr>
    </w:p>
    <w:p w14:paraId="4499B10C" w14:textId="1FD13795" w:rsidR="00B74B1A" w:rsidRDefault="00640A13" w:rsidP="00B74B1A">
      <w:pPr>
        <w:spacing w:after="0" w:line="276" w:lineRule="auto"/>
        <w:ind w:right="-188"/>
        <w:jc w:val="center"/>
        <w:rPr>
          <w:rFonts w:ascii="Cambria" w:hAnsi="Cambria" w:cs="Times New Roman"/>
          <w:i/>
          <w:noProof/>
          <w:sz w:val="20"/>
          <w:szCs w:val="20"/>
        </w:rPr>
      </w:pPr>
      <w:r w:rsidRPr="001A79D7">
        <w:rPr>
          <w:rFonts w:ascii="Cambria" w:hAnsi="Cambria" w:cs="Times New Roman"/>
          <w:b/>
          <w:noProof/>
          <w:sz w:val="20"/>
          <w:szCs w:val="20"/>
        </w:rPr>
        <w:t xml:space="preserve">Paraqitje Grafike 1 (b): </w:t>
      </w:r>
      <w:r w:rsidRPr="001A79D7">
        <w:rPr>
          <w:rFonts w:ascii="Cambria" w:hAnsi="Cambria" w:cs="Times New Roman"/>
          <w:i/>
          <w:noProof/>
          <w:sz w:val="20"/>
          <w:szCs w:val="20"/>
        </w:rPr>
        <w:t>Përbërja e borxhit p</w:t>
      </w:r>
      <w:r w:rsidR="00DE58D1" w:rsidRPr="001A79D7">
        <w:rPr>
          <w:rFonts w:ascii="Cambria" w:hAnsi="Cambria" w:cs="Times New Roman"/>
          <w:i/>
          <w:noProof/>
          <w:sz w:val="20"/>
          <w:szCs w:val="20"/>
        </w:rPr>
        <w:t>ublik sipas instrumenteve (201</w:t>
      </w:r>
      <w:r w:rsidR="004C6FB1">
        <w:rPr>
          <w:rFonts w:ascii="Cambria" w:hAnsi="Cambria" w:cs="Times New Roman"/>
          <w:i/>
          <w:noProof/>
          <w:sz w:val="20"/>
          <w:szCs w:val="20"/>
        </w:rPr>
        <w:t>8</w:t>
      </w:r>
      <w:r w:rsidR="000451FF" w:rsidRPr="001A79D7">
        <w:rPr>
          <w:rFonts w:ascii="Cambria" w:hAnsi="Cambria" w:cs="Times New Roman"/>
          <w:i/>
          <w:noProof/>
          <w:sz w:val="20"/>
          <w:szCs w:val="20"/>
        </w:rPr>
        <w:t>–</w:t>
      </w:r>
      <w:r w:rsidR="006A0CA6" w:rsidRPr="001A79D7">
        <w:rPr>
          <w:rFonts w:ascii="Cambria" w:hAnsi="Cambria" w:cs="Times New Roman"/>
          <w:i/>
          <w:noProof/>
          <w:sz w:val="20"/>
          <w:szCs w:val="20"/>
        </w:rPr>
        <w:t>202</w:t>
      </w:r>
      <w:r w:rsidR="00DE58D1" w:rsidRPr="001A79D7">
        <w:rPr>
          <w:rFonts w:ascii="Cambria" w:hAnsi="Cambria" w:cs="Times New Roman"/>
          <w:i/>
          <w:noProof/>
          <w:sz w:val="20"/>
          <w:szCs w:val="20"/>
        </w:rPr>
        <w:t>2</w:t>
      </w:r>
      <w:r w:rsidR="00B74B1A">
        <w:rPr>
          <w:rFonts w:ascii="Cambria" w:hAnsi="Cambria" w:cs="Times New Roman"/>
          <w:i/>
          <w:noProof/>
          <w:sz w:val="20"/>
          <w:szCs w:val="20"/>
        </w:rPr>
        <w:t>)</w:t>
      </w:r>
    </w:p>
    <w:p w14:paraId="5729E509" w14:textId="4A86C96F" w:rsidR="00B74B1A" w:rsidRPr="001A79D7" w:rsidRDefault="004C6FB1" w:rsidP="000451FF">
      <w:pPr>
        <w:spacing w:after="0" w:line="276" w:lineRule="auto"/>
        <w:ind w:right="-188"/>
        <w:jc w:val="center"/>
        <w:rPr>
          <w:rFonts w:ascii="Cambria" w:hAnsi="Cambria" w:cs="Times New Roman"/>
          <w:i/>
          <w:noProof/>
          <w:sz w:val="20"/>
          <w:szCs w:val="20"/>
        </w:rPr>
      </w:pPr>
      <w:r w:rsidRPr="00463687">
        <w:rPr>
          <w:rFonts w:ascii="Cambria" w:hAnsi="Cambria" w:cs="Times New Roman"/>
          <w:i/>
          <w:noProof/>
          <w:sz w:val="20"/>
          <w:szCs w:val="20"/>
          <w:lang w:val="en-US"/>
        </w:rPr>
        <w:drawing>
          <wp:inline distT="0" distB="0" distL="0" distR="0" wp14:anchorId="6A9F93B6" wp14:editId="3535CA92">
            <wp:extent cx="5829300" cy="1994170"/>
            <wp:effectExtent l="0" t="0" r="0" b="6350"/>
            <wp:docPr id="12" name="Chart 1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C6FB1" w:rsidDel="004C6FB1">
        <w:rPr>
          <w:rFonts w:ascii="Cambria" w:hAnsi="Cambria" w:cs="Times New Roman"/>
          <w:i/>
          <w:noProof/>
          <w:sz w:val="20"/>
          <w:szCs w:val="20"/>
          <w:lang w:val="en-US"/>
        </w:rPr>
        <w:t xml:space="preserve"> </w:t>
      </w:r>
    </w:p>
    <w:p w14:paraId="72EBF596" w14:textId="78772E56" w:rsidR="00640A13" w:rsidRPr="001A79D7" w:rsidRDefault="00640A13" w:rsidP="00B92540">
      <w:pPr>
        <w:spacing w:after="0" w:line="276" w:lineRule="auto"/>
        <w:ind w:right="-188"/>
        <w:jc w:val="center"/>
        <w:rPr>
          <w:rFonts w:ascii="Cambria" w:hAnsi="Cambria" w:cs="Times New Roman"/>
          <w:i/>
          <w:noProof/>
          <w:sz w:val="20"/>
          <w:szCs w:val="20"/>
        </w:rPr>
      </w:pPr>
      <w:r w:rsidRPr="001A79D7">
        <w:rPr>
          <w:rFonts w:ascii="Cambria" w:hAnsi="Cambria" w:cs="Times New Roman"/>
          <w:b/>
          <w:noProof/>
          <w:sz w:val="20"/>
          <w:szCs w:val="20"/>
        </w:rPr>
        <w:t xml:space="preserve">Burimi: </w:t>
      </w:r>
      <w:r w:rsidRPr="001A79D7">
        <w:rPr>
          <w:rFonts w:ascii="Cambria" w:hAnsi="Cambria" w:cs="Times New Roman"/>
          <w:i/>
          <w:noProof/>
          <w:sz w:val="20"/>
          <w:szCs w:val="20"/>
        </w:rPr>
        <w:t>Ministria e Financave dhe Ekonomisë (202</w:t>
      </w:r>
      <w:r w:rsidR="00F54C03">
        <w:rPr>
          <w:rFonts w:ascii="Cambria" w:hAnsi="Cambria" w:cs="Times New Roman"/>
          <w:i/>
          <w:noProof/>
          <w:sz w:val="20"/>
          <w:szCs w:val="20"/>
        </w:rPr>
        <w:t>3</w:t>
      </w:r>
      <w:r w:rsidRPr="001A79D7">
        <w:rPr>
          <w:rFonts w:ascii="Cambria" w:hAnsi="Cambria" w:cs="Times New Roman"/>
          <w:i/>
          <w:noProof/>
          <w:sz w:val="20"/>
          <w:szCs w:val="20"/>
        </w:rPr>
        <w:t>)</w:t>
      </w:r>
    </w:p>
    <w:p w14:paraId="674C0308" w14:textId="77777777" w:rsidR="00952F19" w:rsidRDefault="00952F19" w:rsidP="00463687">
      <w:pPr>
        <w:spacing w:after="0" w:line="276" w:lineRule="auto"/>
        <w:ind w:right="-46"/>
        <w:jc w:val="both"/>
        <w:rPr>
          <w:rFonts w:ascii="Times New Roman" w:hAnsi="Times New Roman" w:cs="Times New Roman"/>
          <w:noProof/>
          <w:sz w:val="24"/>
          <w:szCs w:val="24"/>
        </w:rPr>
      </w:pPr>
    </w:p>
    <w:p w14:paraId="61DEDC96" w14:textId="6BA91455" w:rsidR="00EE07CF" w:rsidRDefault="00640A13" w:rsidP="006D6418">
      <w:pPr>
        <w:spacing w:after="0" w:line="276" w:lineRule="auto"/>
        <w:ind w:right="-34"/>
        <w:jc w:val="both"/>
        <w:rPr>
          <w:rFonts w:ascii="Times New Roman" w:hAnsi="Times New Roman" w:cs="Times New Roman"/>
          <w:noProof/>
          <w:sz w:val="24"/>
          <w:szCs w:val="24"/>
        </w:rPr>
      </w:pPr>
      <w:r w:rsidRPr="001A79D7">
        <w:rPr>
          <w:rFonts w:ascii="Times New Roman" w:hAnsi="Times New Roman" w:cs="Times New Roman"/>
          <w:noProof/>
          <w:sz w:val="24"/>
          <w:szCs w:val="24"/>
        </w:rPr>
        <w:lastRenderedPageBreak/>
        <w:t>Borxhi i pushtetit lokal vazhdon të qëndrojë në nivele të ulëta</w:t>
      </w:r>
      <w:r w:rsidR="00D43C01" w:rsidRPr="001A79D7">
        <w:rPr>
          <w:rFonts w:ascii="Times New Roman" w:hAnsi="Times New Roman" w:cs="Times New Roman"/>
          <w:noProof/>
          <w:sz w:val="24"/>
          <w:szCs w:val="24"/>
        </w:rPr>
        <w:t xml:space="preserve"> </w:t>
      </w:r>
      <w:r w:rsidR="006A0CA6" w:rsidRPr="001A79D7">
        <w:rPr>
          <w:rFonts w:ascii="Times New Roman" w:hAnsi="Times New Roman" w:cs="Times New Roman"/>
          <w:i/>
          <w:noProof/>
          <w:sz w:val="24"/>
          <w:szCs w:val="24"/>
        </w:rPr>
        <w:t xml:space="preserve">(rreth </w:t>
      </w:r>
      <w:r w:rsidR="007E775A">
        <w:rPr>
          <w:rFonts w:ascii="Times New Roman" w:hAnsi="Times New Roman" w:cs="Times New Roman"/>
          <w:i/>
          <w:noProof/>
          <w:sz w:val="24"/>
          <w:szCs w:val="24"/>
        </w:rPr>
        <w:t>20</w:t>
      </w:r>
      <w:r w:rsidR="00F54C03">
        <w:rPr>
          <w:rFonts w:ascii="Times New Roman" w:hAnsi="Times New Roman" w:cs="Times New Roman"/>
          <w:i/>
          <w:noProof/>
          <w:sz w:val="24"/>
          <w:szCs w:val="24"/>
        </w:rPr>
        <w:t>2</w:t>
      </w:r>
      <w:r w:rsidRPr="001A79D7">
        <w:rPr>
          <w:rFonts w:ascii="Times New Roman" w:hAnsi="Times New Roman" w:cs="Times New Roman"/>
          <w:i/>
          <w:noProof/>
          <w:sz w:val="24"/>
          <w:szCs w:val="24"/>
        </w:rPr>
        <w:t xml:space="preserve"> milion Lekë)</w:t>
      </w:r>
      <w:r w:rsidRPr="001A79D7">
        <w:rPr>
          <w:rFonts w:ascii="Times New Roman" w:hAnsi="Times New Roman" w:cs="Times New Roman"/>
          <w:noProof/>
          <w:sz w:val="24"/>
          <w:szCs w:val="24"/>
        </w:rPr>
        <w:t>, kryesisht për shkak të kapaciteteve të ulëta që kanë njësitë e qeverisjes vendore për të akumuluar borxh t</w:t>
      </w:r>
      <w:r w:rsidR="00A70F29" w:rsidRPr="001A79D7">
        <w:rPr>
          <w:rFonts w:ascii="Times New Roman" w:hAnsi="Times New Roman" w:cs="Times New Roman"/>
          <w:noProof/>
          <w:sz w:val="24"/>
          <w:szCs w:val="24"/>
        </w:rPr>
        <w:t>ë</w:t>
      </w:r>
      <w:r w:rsidRPr="001A79D7">
        <w:rPr>
          <w:rFonts w:ascii="Times New Roman" w:hAnsi="Times New Roman" w:cs="Times New Roman"/>
          <w:noProof/>
          <w:sz w:val="24"/>
          <w:szCs w:val="24"/>
        </w:rPr>
        <w:t xml:space="preserve"> ri. Gjatë </w:t>
      </w:r>
      <w:r w:rsidR="00F54C03">
        <w:rPr>
          <w:rFonts w:ascii="Times New Roman" w:hAnsi="Times New Roman" w:cs="Times New Roman"/>
          <w:noProof/>
          <w:sz w:val="24"/>
          <w:szCs w:val="24"/>
        </w:rPr>
        <w:t>vitit</w:t>
      </w:r>
      <w:r w:rsidR="00145981">
        <w:rPr>
          <w:rFonts w:ascii="Times New Roman" w:hAnsi="Times New Roman" w:cs="Times New Roman"/>
          <w:noProof/>
          <w:sz w:val="24"/>
          <w:szCs w:val="24"/>
        </w:rPr>
        <w:t xml:space="preserve"> 2022</w:t>
      </w:r>
      <w:r w:rsidRPr="001A79D7">
        <w:rPr>
          <w:rFonts w:ascii="Times New Roman" w:hAnsi="Times New Roman" w:cs="Times New Roman"/>
          <w:noProof/>
          <w:sz w:val="24"/>
          <w:szCs w:val="24"/>
        </w:rPr>
        <w:t xml:space="preserve"> nuk ka pasur asnjë kërkesë nga njësitë e qeverisjes vendore për huamarrje të re.</w:t>
      </w:r>
    </w:p>
    <w:p w14:paraId="6A1D2564" w14:textId="77777777" w:rsidR="00952F19" w:rsidRPr="00463687" w:rsidRDefault="00952F19" w:rsidP="00463687">
      <w:pPr>
        <w:spacing w:after="0" w:line="276" w:lineRule="auto"/>
        <w:ind w:right="-46"/>
        <w:jc w:val="both"/>
        <w:rPr>
          <w:rFonts w:ascii="Times New Roman" w:hAnsi="Times New Roman" w:cs="Times New Roman"/>
          <w:sz w:val="20"/>
          <w:szCs w:val="20"/>
        </w:rPr>
      </w:pPr>
    </w:p>
    <w:p w14:paraId="3DC15AB5" w14:textId="77777777" w:rsidR="00640A13" w:rsidRPr="00D713DD" w:rsidRDefault="003C1892" w:rsidP="00B92540">
      <w:pPr>
        <w:pStyle w:val="Heading1"/>
        <w:numPr>
          <w:ilvl w:val="0"/>
          <w:numId w:val="5"/>
        </w:numPr>
        <w:tabs>
          <w:tab w:val="left" w:pos="851"/>
        </w:tabs>
        <w:spacing w:before="0" w:after="240" w:line="276" w:lineRule="auto"/>
        <w:ind w:left="426" w:right="-188" w:hanging="426"/>
        <w:jc w:val="both"/>
        <w:rPr>
          <w:rFonts w:ascii="Cambria" w:hAnsi="Cambria"/>
          <w:sz w:val="24"/>
          <w:szCs w:val="24"/>
        </w:rPr>
      </w:pPr>
      <w:bookmarkStart w:id="3" w:name="_Toc34645062"/>
      <w:r w:rsidRPr="00D713DD">
        <w:rPr>
          <w:rFonts w:ascii="Cambria" w:hAnsi="Cambria"/>
          <w:sz w:val="24"/>
          <w:szCs w:val="24"/>
        </w:rPr>
        <w:t>Borxhi</w:t>
      </w:r>
      <w:r w:rsidR="00E2745C" w:rsidRPr="00D713DD">
        <w:rPr>
          <w:rFonts w:ascii="Cambria" w:hAnsi="Cambria"/>
          <w:sz w:val="24"/>
          <w:szCs w:val="24"/>
        </w:rPr>
        <w:t xml:space="preserve"> Shtet</w:t>
      </w:r>
      <w:r w:rsidR="00D7649A" w:rsidRPr="00D713DD">
        <w:rPr>
          <w:rFonts w:ascii="Cambria" w:hAnsi="Cambria"/>
          <w:sz w:val="24"/>
          <w:szCs w:val="24"/>
        </w:rPr>
        <w:t>ë</w:t>
      </w:r>
      <w:r w:rsidR="00E2745C" w:rsidRPr="00D713DD">
        <w:rPr>
          <w:rFonts w:ascii="Cambria" w:hAnsi="Cambria"/>
          <w:sz w:val="24"/>
          <w:szCs w:val="24"/>
        </w:rPr>
        <w:t>ror</w:t>
      </w:r>
      <w:bookmarkEnd w:id="3"/>
    </w:p>
    <w:p w14:paraId="3DC1A107" w14:textId="4BF47773" w:rsidR="00640A13" w:rsidRPr="00B456F4" w:rsidRDefault="00B45BD2" w:rsidP="00B92540">
      <w:pPr>
        <w:tabs>
          <w:tab w:val="left" w:pos="9000"/>
        </w:tabs>
        <w:spacing w:after="0" w:line="276" w:lineRule="auto"/>
        <w:ind w:right="-46"/>
        <w:jc w:val="both"/>
        <w:rPr>
          <w:rFonts w:ascii="Times New Roman" w:hAnsi="Times New Roman" w:cs="Times New Roman"/>
          <w:noProof/>
          <w:sz w:val="24"/>
          <w:szCs w:val="24"/>
        </w:rPr>
      </w:pPr>
      <w:r w:rsidRPr="00B456F4">
        <w:rPr>
          <w:rFonts w:ascii="Times New Roman" w:hAnsi="Times New Roman" w:cs="Times New Roman"/>
          <w:noProof/>
          <w:sz w:val="24"/>
          <w:szCs w:val="24"/>
        </w:rPr>
        <w:t xml:space="preserve">Gjatë </w:t>
      </w:r>
      <w:r w:rsidR="00573DE0" w:rsidRPr="00B456F4">
        <w:rPr>
          <w:rFonts w:ascii="Times New Roman" w:hAnsi="Times New Roman" w:cs="Times New Roman"/>
          <w:noProof/>
          <w:sz w:val="24"/>
          <w:szCs w:val="24"/>
        </w:rPr>
        <w:t>vitit 2022</w:t>
      </w:r>
      <w:r w:rsidRPr="00B456F4">
        <w:rPr>
          <w:rFonts w:ascii="Times New Roman" w:hAnsi="Times New Roman" w:cs="Times New Roman"/>
          <w:noProof/>
          <w:sz w:val="24"/>
          <w:szCs w:val="24"/>
        </w:rPr>
        <w:t xml:space="preserve"> portofoli i borxhit shtetëror vazhdon të dominohet </w:t>
      </w:r>
      <w:r w:rsidR="00863417" w:rsidRPr="00B456F4">
        <w:rPr>
          <w:rFonts w:ascii="Times New Roman" w:hAnsi="Times New Roman" w:cs="Times New Roman"/>
          <w:noProof/>
          <w:sz w:val="24"/>
          <w:szCs w:val="24"/>
        </w:rPr>
        <w:t xml:space="preserve">me </w:t>
      </w:r>
      <w:r w:rsidRPr="00B456F4">
        <w:rPr>
          <w:rFonts w:ascii="Times New Roman" w:hAnsi="Times New Roman" w:cs="Times New Roman"/>
          <w:noProof/>
          <w:sz w:val="24"/>
          <w:szCs w:val="24"/>
        </w:rPr>
        <w:t>mbi 50% nga titujt shtetërorë të tregtuar në tregun vendas, në përputhje me objektivat strategjikë për mbajtjen nën kontroll të riskut të kursit të këmbimit</w:t>
      </w:r>
      <w:r w:rsidR="00640A13" w:rsidRPr="00B456F4">
        <w:rPr>
          <w:rFonts w:ascii="Times New Roman" w:hAnsi="Times New Roman" w:cs="Times New Roman"/>
          <w:noProof/>
          <w:sz w:val="24"/>
          <w:szCs w:val="24"/>
        </w:rPr>
        <w:t>.</w:t>
      </w:r>
    </w:p>
    <w:p w14:paraId="484B6A20" w14:textId="77777777" w:rsidR="00640A13" w:rsidRPr="00DB3C91" w:rsidRDefault="00640A13" w:rsidP="00B92540">
      <w:pPr>
        <w:pStyle w:val="ListParagraph"/>
        <w:tabs>
          <w:tab w:val="left" w:pos="9000"/>
        </w:tabs>
        <w:spacing w:after="0" w:line="276" w:lineRule="auto"/>
        <w:ind w:right="-188"/>
        <w:jc w:val="both"/>
        <w:rPr>
          <w:rFonts w:ascii="Times New Roman" w:hAnsi="Times New Roman" w:cs="Times New Roman"/>
          <w:noProof/>
          <w:sz w:val="20"/>
          <w:szCs w:val="20"/>
          <w:highlight w:val="yellow"/>
        </w:rPr>
      </w:pPr>
    </w:p>
    <w:p w14:paraId="232F0068" w14:textId="42A7CAAC" w:rsidR="000451FF" w:rsidRPr="00B456F4" w:rsidRDefault="00640A13" w:rsidP="00B456F4">
      <w:pPr>
        <w:spacing w:after="0" w:line="276" w:lineRule="auto"/>
        <w:ind w:left="-1418" w:right="-188" w:firstLine="1418"/>
        <w:rPr>
          <w:rFonts w:ascii="Cambria" w:hAnsi="Cambria" w:cs="Times New Roman"/>
          <w:i/>
          <w:noProof/>
          <w:sz w:val="20"/>
          <w:szCs w:val="20"/>
        </w:rPr>
      </w:pPr>
      <w:r w:rsidRPr="00B456F4">
        <w:rPr>
          <w:rFonts w:ascii="Cambria" w:hAnsi="Cambria" w:cs="Times New Roman"/>
          <w:b/>
          <w:noProof/>
          <w:sz w:val="20"/>
          <w:szCs w:val="20"/>
        </w:rPr>
        <w:t xml:space="preserve">Paraqitje Grafike 2 (a): </w:t>
      </w:r>
      <w:r w:rsidRPr="00B456F4">
        <w:rPr>
          <w:rFonts w:ascii="Cambria" w:hAnsi="Cambria" w:cs="Times New Roman"/>
          <w:i/>
          <w:noProof/>
          <w:sz w:val="20"/>
          <w:szCs w:val="20"/>
        </w:rPr>
        <w:t>Kompozimi i portofolit të borxhit sht</w:t>
      </w:r>
      <w:r w:rsidR="00573DE0" w:rsidRPr="00B456F4">
        <w:rPr>
          <w:rFonts w:ascii="Cambria" w:hAnsi="Cambria" w:cs="Times New Roman"/>
          <w:i/>
          <w:noProof/>
          <w:sz w:val="20"/>
          <w:szCs w:val="20"/>
        </w:rPr>
        <w:t>etëror sipas instrumenteve (201</w:t>
      </w:r>
      <w:r w:rsidR="00932A3D">
        <w:rPr>
          <w:rFonts w:ascii="Cambria" w:hAnsi="Cambria" w:cs="Times New Roman"/>
          <w:i/>
          <w:noProof/>
          <w:sz w:val="20"/>
          <w:szCs w:val="20"/>
        </w:rPr>
        <w:t>8</w:t>
      </w:r>
      <w:r w:rsidRPr="00B456F4">
        <w:rPr>
          <w:rFonts w:ascii="Cambria" w:hAnsi="Cambria" w:cs="Times New Roman"/>
          <w:i/>
          <w:noProof/>
          <w:sz w:val="20"/>
          <w:szCs w:val="20"/>
        </w:rPr>
        <w:t>–</w:t>
      </w:r>
      <w:r w:rsidR="005C6B82" w:rsidRPr="00B456F4">
        <w:rPr>
          <w:rFonts w:ascii="Cambria" w:hAnsi="Cambria" w:cs="Times New Roman"/>
          <w:i/>
          <w:noProof/>
          <w:sz w:val="20"/>
          <w:szCs w:val="20"/>
        </w:rPr>
        <w:t>202</w:t>
      </w:r>
      <w:r w:rsidR="00573DE0" w:rsidRPr="00B456F4">
        <w:rPr>
          <w:rFonts w:ascii="Cambria" w:hAnsi="Cambria" w:cs="Times New Roman"/>
          <w:i/>
          <w:noProof/>
          <w:sz w:val="20"/>
          <w:szCs w:val="20"/>
        </w:rPr>
        <w:t>2</w:t>
      </w:r>
      <w:r w:rsidR="00B456F4">
        <w:rPr>
          <w:rFonts w:ascii="Cambria" w:hAnsi="Cambria" w:cs="Times New Roman"/>
          <w:i/>
          <w:noProof/>
          <w:sz w:val="20"/>
          <w:szCs w:val="20"/>
        </w:rPr>
        <w:t>)</w:t>
      </w:r>
    </w:p>
    <w:p w14:paraId="164428FB" w14:textId="02F95FE4" w:rsidR="00E56838" w:rsidRPr="00B456F4" w:rsidRDefault="00F54C03" w:rsidP="0099498F">
      <w:pPr>
        <w:spacing w:after="0" w:line="276" w:lineRule="auto"/>
        <w:ind w:left="-1418" w:right="-188" w:firstLine="1418"/>
        <w:rPr>
          <w:rFonts w:ascii="Cambria" w:hAnsi="Cambria" w:cs="Times New Roman"/>
          <w:noProof/>
          <w:sz w:val="24"/>
          <w:szCs w:val="24"/>
        </w:rPr>
      </w:pPr>
      <w:r w:rsidRPr="00463687">
        <w:rPr>
          <w:rFonts w:ascii="Cambria" w:hAnsi="Cambria" w:cs="Times New Roman"/>
          <w:noProof/>
          <w:sz w:val="24"/>
          <w:szCs w:val="24"/>
          <w:lang w:val="en-US"/>
        </w:rPr>
        <w:drawing>
          <wp:inline distT="0" distB="0" distL="0" distR="0" wp14:anchorId="56F94F10" wp14:editId="50CD9ACC">
            <wp:extent cx="5829300" cy="1673158"/>
            <wp:effectExtent l="0" t="0" r="0" b="3810"/>
            <wp:docPr id="13" name="Chart 13">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F54C03" w:rsidDel="00F54C03">
        <w:rPr>
          <w:rFonts w:ascii="Cambria" w:hAnsi="Cambria" w:cs="Times New Roman"/>
          <w:noProof/>
          <w:sz w:val="24"/>
          <w:szCs w:val="24"/>
          <w:lang w:val="en-US"/>
        </w:rPr>
        <w:t xml:space="preserve"> </w:t>
      </w:r>
    </w:p>
    <w:p w14:paraId="4FE4EEC3" w14:textId="01B055DA" w:rsidR="00640A13" w:rsidRPr="00B456F4" w:rsidRDefault="00640A13" w:rsidP="00B92540">
      <w:pPr>
        <w:spacing w:after="0" w:line="276" w:lineRule="auto"/>
        <w:ind w:right="-188"/>
        <w:jc w:val="center"/>
        <w:rPr>
          <w:rFonts w:ascii="Cambria" w:hAnsi="Cambria" w:cs="Times New Roman"/>
          <w:i/>
          <w:noProof/>
          <w:sz w:val="20"/>
          <w:szCs w:val="20"/>
        </w:rPr>
      </w:pPr>
      <w:r w:rsidRPr="00B456F4">
        <w:rPr>
          <w:rFonts w:ascii="Cambria" w:hAnsi="Cambria" w:cs="Times New Roman"/>
          <w:b/>
          <w:noProof/>
          <w:sz w:val="20"/>
          <w:szCs w:val="20"/>
        </w:rPr>
        <w:t>Burimi:</w:t>
      </w:r>
      <w:r w:rsidRPr="00B456F4">
        <w:rPr>
          <w:rFonts w:ascii="Cambria" w:hAnsi="Cambria" w:cs="Times New Roman"/>
          <w:i/>
          <w:noProof/>
          <w:sz w:val="20"/>
          <w:szCs w:val="20"/>
        </w:rPr>
        <w:t xml:space="preserve"> Ministria e Financave dhe Ekonomisë (202</w:t>
      </w:r>
      <w:r w:rsidR="00463687">
        <w:rPr>
          <w:rFonts w:ascii="Cambria" w:hAnsi="Cambria" w:cs="Times New Roman"/>
          <w:i/>
          <w:noProof/>
          <w:sz w:val="20"/>
          <w:szCs w:val="20"/>
        </w:rPr>
        <w:t>3</w:t>
      </w:r>
      <w:r w:rsidRPr="00B456F4">
        <w:rPr>
          <w:rFonts w:ascii="Cambria" w:hAnsi="Cambria" w:cs="Times New Roman"/>
          <w:i/>
          <w:noProof/>
          <w:sz w:val="20"/>
          <w:szCs w:val="20"/>
        </w:rPr>
        <w:t>)</w:t>
      </w:r>
    </w:p>
    <w:p w14:paraId="1CA896EB" w14:textId="77777777" w:rsidR="00640A13" w:rsidRPr="00DB3C91" w:rsidRDefault="00640A13" w:rsidP="00B92540">
      <w:pPr>
        <w:pStyle w:val="ListParagraph"/>
        <w:spacing w:after="0" w:line="276" w:lineRule="auto"/>
        <w:ind w:right="-188"/>
        <w:rPr>
          <w:rFonts w:ascii="Cambria" w:hAnsi="Cambria" w:cs="Times New Roman"/>
          <w:noProof/>
          <w:sz w:val="20"/>
          <w:szCs w:val="20"/>
          <w:highlight w:val="yellow"/>
        </w:rPr>
      </w:pPr>
    </w:p>
    <w:p w14:paraId="356A97BD" w14:textId="7EB809DD" w:rsidR="00B456F4" w:rsidRDefault="00B456F4" w:rsidP="006D6418">
      <w:pPr>
        <w:spacing w:after="0" w:line="276" w:lineRule="auto"/>
        <w:ind w:right="-34"/>
        <w:jc w:val="both"/>
        <w:rPr>
          <w:rFonts w:ascii="Times New Roman" w:hAnsi="Times New Roman" w:cs="Times New Roman"/>
          <w:noProof/>
          <w:sz w:val="24"/>
          <w:szCs w:val="24"/>
        </w:rPr>
      </w:pPr>
      <w:r w:rsidRPr="00650520">
        <w:rPr>
          <w:rFonts w:ascii="Times New Roman" w:hAnsi="Times New Roman" w:cs="Times New Roman"/>
          <w:noProof/>
          <w:sz w:val="24"/>
          <w:szCs w:val="24"/>
        </w:rPr>
        <w:t>Në portofolin e  borxhit</w:t>
      </w:r>
      <w:r w:rsidRPr="00B456F4">
        <w:rPr>
          <w:rFonts w:ascii="Times New Roman" w:hAnsi="Times New Roman" w:cs="Times New Roman"/>
          <w:noProof/>
          <w:sz w:val="24"/>
          <w:szCs w:val="24"/>
        </w:rPr>
        <w:t xml:space="preserve"> të brendshëm shtetëror, gjatë </w:t>
      </w:r>
      <w:r w:rsidR="00932A3D">
        <w:rPr>
          <w:rFonts w:ascii="Times New Roman" w:hAnsi="Times New Roman" w:cs="Times New Roman"/>
          <w:noProof/>
          <w:sz w:val="24"/>
          <w:szCs w:val="24"/>
        </w:rPr>
        <w:t>vitit</w:t>
      </w:r>
      <w:r w:rsidRPr="00B456F4">
        <w:rPr>
          <w:rFonts w:ascii="Times New Roman" w:hAnsi="Times New Roman" w:cs="Times New Roman"/>
          <w:noProof/>
          <w:sz w:val="24"/>
          <w:szCs w:val="24"/>
        </w:rPr>
        <w:t xml:space="preserve"> 2022, peshën më të madhe vazhdojnë ta mbajnë titujt afatshkurtër. </w:t>
      </w:r>
      <w:r w:rsidR="00BB0481">
        <w:rPr>
          <w:rFonts w:ascii="Times New Roman" w:hAnsi="Times New Roman" w:cs="Times New Roman"/>
          <w:noProof/>
          <w:sz w:val="24"/>
          <w:szCs w:val="24"/>
        </w:rPr>
        <w:t>Për shkak</w:t>
      </w:r>
      <w:r w:rsidR="000F60B2">
        <w:rPr>
          <w:rFonts w:ascii="Times New Roman" w:hAnsi="Times New Roman" w:cs="Times New Roman"/>
          <w:noProof/>
          <w:sz w:val="24"/>
          <w:szCs w:val="24"/>
        </w:rPr>
        <w:t xml:space="preserve"> </w:t>
      </w:r>
      <w:r w:rsidR="00932A3D">
        <w:rPr>
          <w:rFonts w:ascii="Times New Roman" w:hAnsi="Times New Roman" w:cs="Times New Roman"/>
          <w:noProof/>
          <w:sz w:val="24"/>
          <w:szCs w:val="24"/>
        </w:rPr>
        <w:t xml:space="preserve">të </w:t>
      </w:r>
      <w:r w:rsidR="000F60B2">
        <w:rPr>
          <w:rFonts w:ascii="Times New Roman" w:hAnsi="Times New Roman" w:cs="Times New Roman"/>
          <w:noProof/>
          <w:sz w:val="24"/>
          <w:szCs w:val="24"/>
        </w:rPr>
        <w:t>situatës së krijuar në treg gjatë vitit 2022 dhe hezitimit të investitorëvë për të investuar në tituj afatgjatë,</w:t>
      </w:r>
      <w:r w:rsidR="00F267ED">
        <w:rPr>
          <w:rFonts w:ascii="Times New Roman" w:hAnsi="Times New Roman" w:cs="Times New Roman"/>
          <w:noProof/>
          <w:sz w:val="24"/>
          <w:szCs w:val="24"/>
        </w:rPr>
        <w:t xml:space="preserve"> </w:t>
      </w:r>
      <w:r w:rsidR="00D45405">
        <w:rPr>
          <w:rFonts w:ascii="Times New Roman" w:hAnsi="Times New Roman" w:cs="Times New Roman"/>
          <w:noProof/>
          <w:sz w:val="24"/>
          <w:szCs w:val="24"/>
        </w:rPr>
        <w:t>pesha e titujve afatshkur</w:t>
      </w:r>
      <w:r w:rsidR="006C36ED">
        <w:rPr>
          <w:rFonts w:ascii="Times New Roman" w:hAnsi="Times New Roman" w:cs="Times New Roman"/>
          <w:noProof/>
          <w:sz w:val="24"/>
          <w:szCs w:val="24"/>
        </w:rPr>
        <w:t xml:space="preserve">tër ka pësuar rritje gjatë </w:t>
      </w:r>
      <w:r w:rsidR="00932A3D">
        <w:rPr>
          <w:rFonts w:ascii="Times New Roman" w:hAnsi="Times New Roman" w:cs="Times New Roman"/>
          <w:noProof/>
          <w:sz w:val="24"/>
          <w:szCs w:val="24"/>
        </w:rPr>
        <w:t xml:space="preserve">vitit </w:t>
      </w:r>
      <w:r w:rsidR="00D45405">
        <w:rPr>
          <w:rFonts w:ascii="Times New Roman" w:hAnsi="Times New Roman" w:cs="Times New Roman"/>
          <w:noProof/>
          <w:sz w:val="24"/>
          <w:szCs w:val="24"/>
        </w:rPr>
        <w:t xml:space="preserve">në fjalë me </w:t>
      </w:r>
      <w:r w:rsidR="00BB0481">
        <w:rPr>
          <w:rFonts w:ascii="Times New Roman" w:hAnsi="Times New Roman" w:cs="Times New Roman"/>
          <w:noProof/>
          <w:sz w:val="24"/>
          <w:szCs w:val="24"/>
        </w:rPr>
        <w:t>4</w:t>
      </w:r>
      <w:r w:rsidR="00D45405">
        <w:rPr>
          <w:rFonts w:ascii="Times New Roman" w:hAnsi="Times New Roman" w:cs="Times New Roman"/>
          <w:noProof/>
          <w:sz w:val="24"/>
          <w:szCs w:val="24"/>
        </w:rPr>
        <w:t xml:space="preserve"> p.p.</w:t>
      </w:r>
      <w:r w:rsidRPr="00B456F4">
        <w:rPr>
          <w:rFonts w:ascii="Times New Roman" w:hAnsi="Times New Roman" w:cs="Times New Roman"/>
          <w:noProof/>
          <w:sz w:val="24"/>
          <w:szCs w:val="24"/>
        </w:rPr>
        <w:t xml:space="preserve"> </w:t>
      </w:r>
      <w:r w:rsidR="00952F19">
        <w:rPr>
          <w:rFonts w:ascii="Times New Roman" w:hAnsi="Times New Roman" w:cs="Times New Roman"/>
          <w:noProof/>
          <w:sz w:val="24"/>
          <w:szCs w:val="24"/>
        </w:rPr>
        <w:t>Gjithashtu vihet re një rritje e lehtë e peshës së instrumente afatgjata (7,10 dhe 15 vjeçare), e cila ka ardhur kryeisht si rezulat i emetimit të sukseshëm të Obligacionit 15 vjeçar. Ndërkohë, p</w:t>
      </w:r>
      <w:r w:rsidRPr="00B456F4">
        <w:rPr>
          <w:rFonts w:ascii="Times New Roman" w:hAnsi="Times New Roman" w:cs="Times New Roman"/>
          <w:noProof/>
          <w:sz w:val="24"/>
          <w:szCs w:val="24"/>
        </w:rPr>
        <w:t>esha e titujve me norma interesi të ndryshueshme është reduktuar, pasi edhe gjatë kësaj periudhe nuk ka patur emetime të titujve me norma interesi të ndryshueshme, në përputhje me objektivat për reduktimin e riskut të normave të interesit dhe shmangien e fragmentimit të kërkesës për titujt me maturitet të ngjashëm.</w:t>
      </w:r>
    </w:p>
    <w:p w14:paraId="59AA5BA7" w14:textId="4165B1FF" w:rsidR="00BB0481" w:rsidRDefault="00BB0481" w:rsidP="00B456F4">
      <w:pPr>
        <w:spacing w:after="0" w:line="276" w:lineRule="auto"/>
        <w:ind w:right="-188"/>
        <w:jc w:val="both"/>
        <w:rPr>
          <w:rFonts w:ascii="Times New Roman" w:hAnsi="Times New Roman" w:cs="Times New Roman"/>
          <w:noProof/>
          <w:sz w:val="24"/>
          <w:szCs w:val="24"/>
        </w:rPr>
      </w:pPr>
    </w:p>
    <w:p w14:paraId="083A78CF" w14:textId="05951022" w:rsidR="00463687" w:rsidRDefault="006D6418" w:rsidP="00463687">
      <w:pPr>
        <w:spacing w:after="0" w:line="276" w:lineRule="auto"/>
        <w:ind w:right="-188"/>
        <w:rPr>
          <w:rFonts w:ascii="Cambria" w:hAnsi="Cambria" w:cs="Times New Roman"/>
          <w:i/>
          <w:noProof/>
          <w:sz w:val="20"/>
          <w:szCs w:val="20"/>
        </w:rPr>
      </w:pPr>
      <w:r w:rsidRPr="00463687">
        <w:rPr>
          <w:noProof/>
          <w:lang w:val="en-US"/>
        </w:rPr>
        <w:drawing>
          <wp:anchor distT="0" distB="0" distL="114300" distR="114300" simplePos="0" relativeHeight="251907072" behindDoc="1" locked="0" layoutInCell="1" allowOverlap="1" wp14:anchorId="011C2A97" wp14:editId="714678C9">
            <wp:simplePos x="0" y="0"/>
            <wp:positionH relativeFrom="column">
              <wp:posOffset>3062605</wp:posOffset>
            </wp:positionH>
            <wp:positionV relativeFrom="paragraph">
              <wp:posOffset>361950</wp:posOffset>
            </wp:positionV>
            <wp:extent cx="2764790" cy="1877060"/>
            <wp:effectExtent l="0" t="0" r="16510" b="8890"/>
            <wp:wrapTight wrapText="bothSides">
              <wp:wrapPolygon edited="0">
                <wp:start x="0" y="0"/>
                <wp:lineTo x="0" y="21483"/>
                <wp:lineTo x="21580" y="21483"/>
                <wp:lineTo x="21580" y="0"/>
                <wp:lineTo x="0" y="0"/>
              </wp:wrapPolygon>
            </wp:wrapTight>
            <wp:docPr id="16" name="Chart 1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952F19" w:rsidRPr="00463687">
        <w:rPr>
          <w:rFonts w:ascii="Cambria" w:hAnsi="Cambria" w:cs="Times New Roman"/>
          <w:b/>
          <w:noProof/>
          <w:sz w:val="20"/>
          <w:szCs w:val="20"/>
          <w:lang w:val="en-US"/>
        </w:rPr>
        <w:drawing>
          <wp:anchor distT="0" distB="0" distL="114300" distR="114300" simplePos="0" relativeHeight="251906048" behindDoc="1" locked="0" layoutInCell="1" allowOverlap="1" wp14:anchorId="360A3A9E" wp14:editId="2A597839">
            <wp:simplePos x="0" y="0"/>
            <wp:positionH relativeFrom="column">
              <wp:posOffset>-1270</wp:posOffset>
            </wp:positionH>
            <wp:positionV relativeFrom="paragraph">
              <wp:posOffset>361950</wp:posOffset>
            </wp:positionV>
            <wp:extent cx="3063875" cy="1877060"/>
            <wp:effectExtent l="0" t="0" r="3175" b="8890"/>
            <wp:wrapTight wrapText="bothSides">
              <wp:wrapPolygon edited="0">
                <wp:start x="0" y="0"/>
                <wp:lineTo x="0" y="21483"/>
                <wp:lineTo x="21488" y="21483"/>
                <wp:lineTo x="21488" y="0"/>
                <wp:lineTo x="0" y="0"/>
              </wp:wrapPolygon>
            </wp:wrapTight>
            <wp:docPr id="1"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40A13" w:rsidRPr="00B456F4">
        <w:rPr>
          <w:rFonts w:ascii="Cambria" w:hAnsi="Cambria" w:cs="Times New Roman"/>
          <w:b/>
          <w:noProof/>
          <w:sz w:val="20"/>
          <w:szCs w:val="20"/>
        </w:rPr>
        <w:t xml:space="preserve">Paraqitje Grafike 2 (b): </w:t>
      </w:r>
      <w:r w:rsidR="00640A13" w:rsidRPr="00B456F4">
        <w:rPr>
          <w:rFonts w:ascii="Cambria" w:hAnsi="Cambria" w:cs="Times New Roman"/>
          <w:i/>
          <w:noProof/>
          <w:sz w:val="20"/>
          <w:szCs w:val="20"/>
        </w:rPr>
        <w:t>Kompozimi i borxhit të brendshëm shtetëror sipas maturitetit të titu</w:t>
      </w:r>
      <w:r w:rsidR="00463687">
        <w:rPr>
          <w:rFonts w:ascii="Cambria" w:hAnsi="Cambria" w:cs="Times New Roman"/>
          <w:i/>
          <w:noProof/>
          <w:sz w:val="20"/>
          <w:szCs w:val="20"/>
        </w:rPr>
        <w:t>jve dhe tipit të interesit (2018</w:t>
      </w:r>
      <w:r w:rsidR="00640A13" w:rsidRPr="00B456F4">
        <w:rPr>
          <w:rFonts w:ascii="Cambria" w:hAnsi="Cambria" w:cs="Times New Roman"/>
          <w:i/>
          <w:noProof/>
          <w:sz w:val="20"/>
          <w:szCs w:val="20"/>
        </w:rPr>
        <w:t>–</w:t>
      </w:r>
      <w:r w:rsidR="000451FF" w:rsidRPr="00B456F4">
        <w:rPr>
          <w:rFonts w:ascii="Cambria" w:hAnsi="Cambria" w:cs="Times New Roman"/>
          <w:i/>
          <w:noProof/>
          <w:sz w:val="20"/>
          <w:szCs w:val="20"/>
        </w:rPr>
        <w:t xml:space="preserve"> </w:t>
      </w:r>
      <w:r w:rsidR="005C6B82" w:rsidRPr="00B456F4">
        <w:rPr>
          <w:rFonts w:ascii="Cambria" w:hAnsi="Cambria" w:cs="Times New Roman"/>
          <w:i/>
          <w:noProof/>
          <w:sz w:val="20"/>
          <w:szCs w:val="20"/>
        </w:rPr>
        <w:t xml:space="preserve"> 202</w:t>
      </w:r>
      <w:r w:rsidR="00CD13AF" w:rsidRPr="00B456F4">
        <w:rPr>
          <w:rFonts w:ascii="Cambria" w:hAnsi="Cambria" w:cs="Times New Roman"/>
          <w:i/>
          <w:noProof/>
          <w:sz w:val="20"/>
          <w:szCs w:val="20"/>
        </w:rPr>
        <w:t>2</w:t>
      </w:r>
      <w:r w:rsidR="00640A13" w:rsidRPr="00B456F4">
        <w:rPr>
          <w:rFonts w:ascii="Cambria" w:hAnsi="Cambria" w:cs="Times New Roman"/>
          <w:i/>
          <w:noProof/>
          <w:sz w:val="20"/>
          <w:szCs w:val="20"/>
        </w:rPr>
        <w:t>)</w:t>
      </w:r>
    </w:p>
    <w:p w14:paraId="47EE1165" w14:textId="46394E47" w:rsidR="00D81F18" w:rsidRPr="00463687" w:rsidRDefault="00640A13" w:rsidP="00463687">
      <w:pPr>
        <w:spacing w:after="0" w:line="276" w:lineRule="auto"/>
        <w:ind w:right="-188"/>
        <w:jc w:val="center"/>
        <w:rPr>
          <w:rFonts w:ascii="Cambria" w:hAnsi="Cambria" w:cs="Times New Roman"/>
          <w:i/>
          <w:noProof/>
          <w:sz w:val="20"/>
          <w:szCs w:val="20"/>
        </w:rPr>
      </w:pPr>
      <w:r w:rsidRPr="00B456F4">
        <w:rPr>
          <w:rFonts w:ascii="Cambria" w:hAnsi="Cambria" w:cs="Times New Roman"/>
          <w:b/>
          <w:noProof/>
          <w:sz w:val="20"/>
          <w:szCs w:val="20"/>
        </w:rPr>
        <w:t>Burimi:</w:t>
      </w:r>
      <w:r w:rsidRPr="00B456F4">
        <w:rPr>
          <w:rFonts w:ascii="Cambria" w:hAnsi="Cambria" w:cs="Times New Roman"/>
          <w:i/>
          <w:noProof/>
          <w:sz w:val="20"/>
          <w:szCs w:val="20"/>
        </w:rPr>
        <w:t xml:space="preserve"> Ministria e Financave dhe Ekonomisë (202</w:t>
      </w:r>
      <w:r w:rsidR="00463687">
        <w:rPr>
          <w:rFonts w:ascii="Cambria" w:hAnsi="Cambria" w:cs="Times New Roman"/>
          <w:i/>
          <w:noProof/>
          <w:sz w:val="20"/>
          <w:szCs w:val="20"/>
        </w:rPr>
        <w:t>3</w:t>
      </w:r>
      <w:r w:rsidRPr="00B456F4">
        <w:rPr>
          <w:rFonts w:ascii="Cambria" w:hAnsi="Cambria" w:cs="Times New Roman"/>
          <w:i/>
          <w:noProof/>
          <w:sz w:val="20"/>
          <w:szCs w:val="20"/>
        </w:rPr>
        <w:t>)</w:t>
      </w:r>
    </w:p>
    <w:p w14:paraId="57885CFC" w14:textId="131E1AC6" w:rsidR="00B456F4" w:rsidRPr="007B65E6" w:rsidRDefault="00B456F4" w:rsidP="006D6418">
      <w:pPr>
        <w:spacing w:after="0" w:line="276" w:lineRule="auto"/>
        <w:ind w:right="-34"/>
        <w:rPr>
          <w:noProof/>
          <w:lang w:val="en-GB" w:eastAsia="en-GB"/>
        </w:rPr>
      </w:pPr>
      <w:r w:rsidRPr="00B456F4">
        <w:rPr>
          <w:rFonts w:ascii="Times New Roman" w:hAnsi="Times New Roman" w:cs="Times New Roman"/>
          <w:noProof/>
          <w:sz w:val="24"/>
          <w:szCs w:val="24"/>
        </w:rPr>
        <w:lastRenderedPageBreak/>
        <w:t xml:space="preserve">Në portofolin e borxhit të jashtëm, mbi 60% të peshës e mban borxhi me normë interesi fikse.  </w:t>
      </w:r>
    </w:p>
    <w:p w14:paraId="256422CA" w14:textId="13E26501" w:rsidR="00B456F4" w:rsidRPr="00B456F4" w:rsidRDefault="00B456F4" w:rsidP="006D6418">
      <w:pPr>
        <w:spacing w:after="0" w:line="276" w:lineRule="auto"/>
        <w:ind w:right="-34"/>
        <w:jc w:val="both"/>
        <w:rPr>
          <w:rFonts w:ascii="Times New Roman" w:hAnsi="Times New Roman" w:cs="Times New Roman"/>
          <w:noProof/>
          <w:sz w:val="24"/>
          <w:szCs w:val="24"/>
        </w:rPr>
      </w:pPr>
      <w:r w:rsidRPr="00B456F4">
        <w:rPr>
          <w:rFonts w:ascii="Times New Roman" w:hAnsi="Times New Roman" w:cs="Times New Roman"/>
          <w:noProof/>
          <w:sz w:val="24"/>
          <w:szCs w:val="24"/>
        </w:rPr>
        <w:t xml:space="preserve">Për sa i përket kompozimit sipas instrumenteve, pavarësisht diversifikimit të portofolit drejt instrumenteve të tregtueshme, peshën më të madhe vazhdojnë ta mbajnë huatë me burim kreditorët dypalësh dhe shumëpalësh, me destinacion financimin e projekteve me natyrë zhvillimore.  </w:t>
      </w:r>
    </w:p>
    <w:p w14:paraId="3C9D79D5" w14:textId="710F5B78" w:rsidR="00640A13" w:rsidRPr="00DB3C91" w:rsidRDefault="00640A13" w:rsidP="00B92540">
      <w:pPr>
        <w:spacing w:after="0" w:line="276" w:lineRule="auto"/>
        <w:ind w:right="-188"/>
        <w:rPr>
          <w:rFonts w:ascii="Cambria" w:hAnsi="Cambria" w:cs="Times New Roman"/>
          <w:b/>
          <w:noProof/>
          <w:sz w:val="20"/>
          <w:szCs w:val="20"/>
          <w:highlight w:val="yellow"/>
        </w:rPr>
      </w:pPr>
    </w:p>
    <w:p w14:paraId="5847C47A" w14:textId="1E73EA8E" w:rsidR="00D81F18" w:rsidRDefault="006D6418" w:rsidP="00D81F18">
      <w:pPr>
        <w:spacing w:after="0" w:line="240" w:lineRule="auto"/>
        <w:ind w:left="2127" w:right="-188" w:hanging="2127"/>
        <w:rPr>
          <w:rFonts w:ascii="Cambria" w:hAnsi="Cambria" w:cs="Times New Roman"/>
          <w:i/>
          <w:noProof/>
          <w:sz w:val="20"/>
          <w:szCs w:val="20"/>
        </w:rPr>
      </w:pPr>
      <w:r w:rsidRPr="00463687">
        <w:rPr>
          <w:rFonts w:ascii="Cambria" w:hAnsi="Cambria" w:cs="Times New Roman"/>
          <w:b/>
          <w:noProof/>
          <w:sz w:val="20"/>
          <w:szCs w:val="20"/>
          <w:lang w:val="en-US"/>
        </w:rPr>
        <w:drawing>
          <wp:anchor distT="0" distB="0" distL="114300" distR="114300" simplePos="0" relativeHeight="251909120" behindDoc="1" locked="0" layoutInCell="1" allowOverlap="1" wp14:anchorId="22E8C16E" wp14:editId="66172E2B">
            <wp:simplePos x="0" y="0"/>
            <wp:positionH relativeFrom="column">
              <wp:posOffset>2926715</wp:posOffset>
            </wp:positionH>
            <wp:positionV relativeFrom="paragraph">
              <wp:posOffset>354330</wp:posOffset>
            </wp:positionV>
            <wp:extent cx="2888615" cy="2431415"/>
            <wp:effectExtent l="0" t="0" r="6985" b="6985"/>
            <wp:wrapSquare wrapText="bothSides"/>
            <wp:docPr id="26" name="Chart 2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463687">
        <w:rPr>
          <w:rFonts w:ascii="Cambria" w:hAnsi="Cambria" w:cs="Times New Roman"/>
          <w:i/>
          <w:noProof/>
          <w:sz w:val="20"/>
          <w:szCs w:val="20"/>
          <w:lang w:val="en-US"/>
        </w:rPr>
        <w:drawing>
          <wp:anchor distT="0" distB="0" distL="114300" distR="114300" simplePos="0" relativeHeight="251908096" behindDoc="0" locked="0" layoutInCell="1" allowOverlap="1" wp14:anchorId="2898B535" wp14:editId="5FF9FFFB">
            <wp:simplePos x="0" y="0"/>
            <wp:positionH relativeFrom="column">
              <wp:posOffset>57150</wp:posOffset>
            </wp:positionH>
            <wp:positionV relativeFrom="paragraph">
              <wp:posOffset>354330</wp:posOffset>
            </wp:positionV>
            <wp:extent cx="2869565" cy="2431415"/>
            <wp:effectExtent l="0" t="0" r="6985" b="6985"/>
            <wp:wrapSquare wrapText="bothSides"/>
            <wp:docPr id="17" name="Chart 17">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40A13" w:rsidRPr="00B456F4">
        <w:rPr>
          <w:rFonts w:ascii="Cambria" w:hAnsi="Cambria" w:cs="Times New Roman"/>
          <w:b/>
          <w:noProof/>
          <w:sz w:val="20"/>
          <w:szCs w:val="20"/>
        </w:rPr>
        <w:t xml:space="preserve"> Paraqitje Grafike 2 (c):</w:t>
      </w:r>
      <w:r w:rsidR="00640A13" w:rsidRPr="00B456F4">
        <w:rPr>
          <w:rFonts w:ascii="Cambria" w:hAnsi="Cambria" w:cs="Times New Roman"/>
          <w:noProof/>
          <w:sz w:val="20"/>
          <w:szCs w:val="20"/>
        </w:rPr>
        <w:t xml:space="preserve"> </w:t>
      </w:r>
      <w:r w:rsidR="00640A13" w:rsidRPr="00B456F4">
        <w:rPr>
          <w:rFonts w:ascii="Cambria" w:hAnsi="Cambria" w:cs="Times New Roman"/>
          <w:i/>
          <w:noProof/>
          <w:sz w:val="20"/>
          <w:szCs w:val="20"/>
        </w:rPr>
        <w:t xml:space="preserve">Kompozimi i borxhit të jashtëm shtetëror sipas tipit të instrumenteve dhe tipit të </w:t>
      </w:r>
      <w:r w:rsidR="00463687">
        <w:rPr>
          <w:rFonts w:ascii="Cambria" w:hAnsi="Cambria" w:cs="Times New Roman"/>
          <w:i/>
          <w:noProof/>
          <w:sz w:val="20"/>
          <w:szCs w:val="20"/>
        </w:rPr>
        <w:t>interesit (2018-</w:t>
      </w:r>
      <w:r w:rsidR="008B1333" w:rsidRPr="00B456F4">
        <w:rPr>
          <w:rFonts w:ascii="Cambria" w:hAnsi="Cambria" w:cs="Times New Roman"/>
          <w:i/>
          <w:noProof/>
          <w:sz w:val="20"/>
          <w:szCs w:val="20"/>
        </w:rPr>
        <w:t>202</w:t>
      </w:r>
      <w:r w:rsidR="00741A9F" w:rsidRPr="00B456F4">
        <w:rPr>
          <w:rFonts w:ascii="Cambria" w:hAnsi="Cambria" w:cs="Times New Roman"/>
          <w:i/>
          <w:noProof/>
          <w:sz w:val="20"/>
          <w:szCs w:val="20"/>
        </w:rPr>
        <w:t>2</w:t>
      </w:r>
      <w:r w:rsidR="00D81F18">
        <w:rPr>
          <w:rFonts w:ascii="Cambria" w:hAnsi="Cambria" w:cs="Times New Roman"/>
          <w:i/>
          <w:noProof/>
          <w:sz w:val="20"/>
          <w:szCs w:val="20"/>
        </w:rPr>
        <w:t>)</w:t>
      </w:r>
    </w:p>
    <w:p w14:paraId="3982C954" w14:textId="65ED37B8" w:rsidR="00640A13" w:rsidRPr="00D81F18" w:rsidRDefault="006D6418" w:rsidP="006D6418">
      <w:pPr>
        <w:spacing w:after="0" w:line="240" w:lineRule="auto"/>
        <w:ind w:left="2127" w:right="-188" w:hanging="2127"/>
        <w:rPr>
          <w:rFonts w:ascii="Cambria" w:hAnsi="Cambria" w:cs="Times New Roman"/>
          <w:i/>
          <w:noProof/>
          <w:sz w:val="20"/>
          <w:szCs w:val="20"/>
        </w:rPr>
      </w:pPr>
      <w:r>
        <w:rPr>
          <w:rFonts w:ascii="Cambria" w:hAnsi="Cambria" w:cs="Times New Roman"/>
          <w:b/>
          <w:noProof/>
          <w:sz w:val="20"/>
          <w:szCs w:val="20"/>
        </w:rPr>
        <w:t xml:space="preserve">                                                   </w:t>
      </w:r>
      <w:r w:rsidR="00640A13" w:rsidRPr="00B456F4">
        <w:rPr>
          <w:rFonts w:ascii="Cambria" w:hAnsi="Cambria" w:cs="Times New Roman"/>
          <w:b/>
          <w:noProof/>
          <w:sz w:val="20"/>
          <w:szCs w:val="20"/>
        </w:rPr>
        <w:t xml:space="preserve">Burimi: </w:t>
      </w:r>
      <w:r w:rsidR="00640A13" w:rsidRPr="00B456F4">
        <w:rPr>
          <w:rFonts w:ascii="Cambria" w:hAnsi="Cambria" w:cs="Times New Roman"/>
          <w:i/>
          <w:noProof/>
          <w:sz w:val="20"/>
          <w:szCs w:val="20"/>
        </w:rPr>
        <w:t>Ministria e Financave dhe Ekonomisë (202</w:t>
      </w:r>
      <w:r w:rsidR="00463687">
        <w:rPr>
          <w:rFonts w:ascii="Cambria" w:hAnsi="Cambria" w:cs="Times New Roman"/>
          <w:i/>
          <w:noProof/>
          <w:sz w:val="20"/>
          <w:szCs w:val="20"/>
        </w:rPr>
        <w:t>3</w:t>
      </w:r>
      <w:r w:rsidR="00640A13" w:rsidRPr="00B456F4">
        <w:rPr>
          <w:rFonts w:ascii="Cambria" w:hAnsi="Cambria" w:cs="Times New Roman"/>
          <w:i/>
          <w:noProof/>
          <w:sz w:val="20"/>
          <w:szCs w:val="20"/>
        </w:rPr>
        <w:t>)</w:t>
      </w:r>
    </w:p>
    <w:p w14:paraId="6972779A" w14:textId="60987631" w:rsidR="009D7D0F" w:rsidRPr="00DB3C91" w:rsidRDefault="009D7D0F" w:rsidP="00FF0FFD">
      <w:pPr>
        <w:spacing w:after="0" w:line="240" w:lineRule="auto"/>
        <w:ind w:right="-188"/>
        <w:rPr>
          <w:noProof/>
          <w:sz w:val="20"/>
          <w:highlight w:val="yellow"/>
        </w:rPr>
      </w:pPr>
    </w:p>
    <w:p w14:paraId="676331D9" w14:textId="3496365C" w:rsidR="00640A13" w:rsidRPr="000F59B0" w:rsidRDefault="007B65E6" w:rsidP="00BC5BC9">
      <w:pPr>
        <w:shd w:val="clear" w:color="auto" w:fill="FFFFFF" w:themeFill="background1"/>
        <w:spacing w:after="0" w:line="276" w:lineRule="auto"/>
        <w:ind w:right="-46"/>
        <w:jc w:val="both"/>
        <w:rPr>
          <w:rFonts w:ascii="Times New Roman" w:hAnsi="Times New Roman" w:cs="Times New Roman"/>
          <w:noProof/>
          <w:sz w:val="24"/>
          <w:szCs w:val="24"/>
        </w:rPr>
      </w:pPr>
      <w:r>
        <w:rPr>
          <w:rFonts w:ascii="Times New Roman" w:hAnsi="Times New Roman" w:cs="Times New Roman"/>
          <w:noProof/>
          <w:sz w:val="24"/>
          <w:szCs w:val="24"/>
        </w:rPr>
        <w:t>P</w:t>
      </w:r>
      <w:r w:rsidR="009A6B42">
        <w:rPr>
          <w:rFonts w:ascii="Times New Roman" w:hAnsi="Times New Roman" w:cs="Times New Roman"/>
          <w:noProof/>
          <w:sz w:val="24"/>
          <w:szCs w:val="24"/>
        </w:rPr>
        <w:t>ë</w:t>
      </w:r>
      <w:r>
        <w:rPr>
          <w:rFonts w:ascii="Times New Roman" w:hAnsi="Times New Roman" w:cs="Times New Roman"/>
          <w:noProof/>
          <w:sz w:val="24"/>
          <w:szCs w:val="24"/>
        </w:rPr>
        <w:t>rsa i p</w:t>
      </w:r>
      <w:r w:rsidR="009A6B42">
        <w:rPr>
          <w:rFonts w:ascii="Times New Roman" w:hAnsi="Times New Roman" w:cs="Times New Roman"/>
          <w:noProof/>
          <w:sz w:val="24"/>
          <w:szCs w:val="24"/>
        </w:rPr>
        <w:t>ë</w:t>
      </w:r>
      <w:r>
        <w:rPr>
          <w:rFonts w:ascii="Times New Roman" w:hAnsi="Times New Roman" w:cs="Times New Roman"/>
          <w:noProof/>
          <w:sz w:val="24"/>
          <w:szCs w:val="24"/>
        </w:rPr>
        <w:t>rket kompozimit t</w:t>
      </w:r>
      <w:r w:rsidR="009A6B42">
        <w:rPr>
          <w:rFonts w:ascii="Times New Roman" w:hAnsi="Times New Roman" w:cs="Times New Roman"/>
          <w:noProof/>
          <w:sz w:val="24"/>
          <w:szCs w:val="24"/>
        </w:rPr>
        <w:t>ë</w:t>
      </w:r>
      <w:r>
        <w:rPr>
          <w:rFonts w:ascii="Times New Roman" w:hAnsi="Times New Roman" w:cs="Times New Roman"/>
          <w:noProof/>
          <w:sz w:val="24"/>
          <w:szCs w:val="24"/>
        </w:rPr>
        <w:t xml:space="preserve"> portofolit t</w:t>
      </w:r>
      <w:r w:rsidR="009A6B42">
        <w:rPr>
          <w:rFonts w:ascii="Times New Roman" w:hAnsi="Times New Roman" w:cs="Times New Roman"/>
          <w:noProof/>
          <w:sz w:val="24"/>
          <w:szCs w:val="24"/>
        </w:rPr>
        <w:t>ë</w:t>
      </w:r>
      <w:r>
        <w:rPr>
          <w:rFonts w:ascii="Times New Roman" w:hAnsi="Times New Roman" w:cs="Times New Roman"/>
          <w:noProof/>
          <w:sz w:val="24"/>
          <w:szCs w:val="24"/>
        </w:rPr>
        <w:t xml:space="preserve"> </w:t>
      </w:r>
      <w:r w:rsidR="00640A13" w:rsidRPr="000F59B0">
        <w:rPr>
          <w:rFonts w:ascii="Times New Roman" w:hAnsi="Times New Roman" w:cs="Times New Roman"/>
          <w:noProof/>
          <w:sz w:val="24"/>
          <w:szCs w:val="24"/>
        </w:rPr>
        <w:t>b</w:t>
      </w:r>
      <w:r>
        <w:rPr>
          <w:rFonts w:ascii="Times New Roman" w:hAnsi="Times New Roman" w:cs="Times New Roman"/>
          <w:noProof/>
          <w:sz w:val="24"/>
          <w:szCs w:val="24"/>
        </w:rPr>
        <w:t>orxhit shtetëror sipas valutave, p</w:t>
      </w:r>
      <w:r w:rsidR="00640A13" w:rsidRPr="000F59B0">
        <w:rPr>
          <w:rFonts w:ascii="Times New Roman" w:hAnsi="Times New Roman" w:cs="Times New Roman"/>
          <w:noProof/>
          <w:sz w:val="24"/>
          <w:szCs w:val="24"/>
        </w:rPr>
        <w:t xml:space="preserve">jesën më të madhe të portofolit e </w:t>
      </w:r>
      <w:r w:rsidR="0012383A" w:rsidRPr="000F59B0">
        <w:rPr>
          <w:rFonts w:ascii="Times New Roman" w:hAnsi="Times New Roman" w:cs="Times New Roman"/>
          <w:noProof/>
          <w:sz w:val="24"/>
          <w:szCs w:val="24"/>
        </w:rPr>
        <w:t xml:space="preserve">zë valuta vendase me </w:t>
      </w:r>
      <w:r w:rsidR="00631091">
        <w:rPr>
          <w:rFonts w:ascii="Times New Roman" w:hAnsi="Times New Roman" w:cs="Times New Roman"/>
          <w:noProof/>
          <w:sz w:val="24"/>
          <w:szCs w:val="24"/>
        </w:rPr>
        <w:t>52.9</w:t>
      </w:r>
      <w:r w:rsidR="00640A13" w:rsidRPr="000F59B0">
        <w:rPr>
          <w:rFonts w:ascii="Times New Roman" w:hAnsi="Times New Roman" w:cs="Times New Roman"/>
          <w:noProof/>
          <w:sz w:val="24"/>
          <w:szCs w:val="24"/>
        </w:rPr>
        <w:t>% të total</w:t>
      </w:r>
      <w:r w:rsidR="0012383A" w:rsidRPr="000F59B0">
        <w:rPr>
          <w:rFonts w:ascii="Times New Roman" w:hAnsi="Times New Roman" w:cs="Times New Roman"/>
          <w:noProof/>
          <w:sz w:val="24"/>
          <w:szCs w:val="24"/>
        </w:rPr>
        <w:t xml:space="preserve">it, ndjekur nga valuta EUR me </w:t>
      </w:r>
      <w:r w:rsidR="00631091">
        <w:rPr>
          <w:rFonts w:ascii="Times New Roman" w:hAnsi="Times New Roman" w:cs="Times New Roman"/>
          <w:noProof/>
          <w:sz w:val="24"/>
          <w:szCs w:val="24"/>
        </w:rPr>
        <w:t>35</w:t>
      </w:r>
      <w:r w:rsidR="000E720A" w:rsidRPr="000F59B0">
        <w:rPr>
          <w:rFonts w:ascii="Times New Roman" w:hAnsi="Times New Roman" w:cs="Times New Roman"/>
          <w:noProof/>
          <w:sz w:val="24"/>
          <w:szCs w:val="24"/>
        </w:rPr>
        <w:t>.</w:t>
      </w:r>
      <w:r w:rsidR="00631091">
        <w:rPr>
          <w:rFonts w:ascii="Times New Roman" w:hAnsi="Times New Roman" w:cs="Times New Roman"/>
          <w:noProof/>
          <w:sz w:val="24"/>
          <w:szCs w:val="24"/>
        </w:rPr>
        <w:t>3</w:t>
      </w:r>
      <w:r w:rsidR="0012383A" w:rsidRPr="000F59B0">
        <w:rPr>
          <w:rFonts w:ascii="Times New Roman" w:hAnsi="Times New Roman" w:cs="Times New Roman"/>
          <w:noProof/>
          <w:sz w:val="24"/>
          <w:szCs w:val="24"/>
        </w:rPr>
        <w:t xml:space="preserve">% dhe USD me </w:t>
      </w:r>
      <w:r w:rsidR="00631091">
        <w:rPr>
          <w:rFonts w:ascii="Times New Roman" w:hAnsi="Times New Roman" w:cs="Times New Roman"/>
          <w:noProof/>
          <w:sz w:val="24"/>
          <w:szCs w:val="24"/>
        </w:rPr>
        <w:t>8.3</w:t>
      </w:r>
      <w:r w:rsidR="00640A13" w:rsidRPr="000F59B0">
        <w:rPr>
          <w:rFonts w:ascii="Times New Roman" w:hAnsi="Times New Roman" w:cs="Times New Roman"/>
          <w:noProof/>
          <w:sz w:val="24"/>
          <w:szCs w:val="24"/>
        </w:rPr>
        <w:t xml:space="preserve">%. </w:t>
      </w:r>
    </w:p>
    <w:p w14:paraId="637C490B" w14:textId="6C58D605" w:rsidR="00640A13" w:rsidRPr="000F59B0" w:rsidRDefault="00640A13" w:rsidP="00BC5BC9">
      <w:pPr>
        <w:shd w:val="clear" w:color="auto" w:fill="FFFFFF" w:themeFill="background1"/>
        <w:spacing w:after="0" w:line="276" w:lineRule="auto"/>
        <w:ind w:right="-46"/>
        <w:jc w:val="both"/>
        <w:rPr>
          <w:rFonts w:ascii="Times New Roman" w:hAnsi="Times New Roman" w:cs="Times New Roman"/>
          <w:noProof/>
          <w:sz w:val="24"/>
          <w:szCs w:val="24"/>
        </w:rPr>
      </w:pPr>
      <w:r w:rsidRPr="000F59B0">
        <w:rPr>
          <w:rFonts w:ascii="Times New Roman" w:hAnsi="Times New Roman" w:cs="Times New Roman"/>
          <w:noProof/>
          <w:sz w:val="24"/>
          <w:szCs w:val="24"/>
        </w:rPr>
        <w:t xml:space="preserve">Portofoli i borxhit të brendshëm </w:t>
      </w:r>
      <w:r w:rsidR="000E720A" w:rsidRPr="000F59B0">
        <w:rPr>
          <w:rFonts w:ascii="Times New Roman" w:hAnsi="Times New Roman" w:cs="Times New Roman"/>
          <w:noProof/>
          <w:sz w:val="24"/>
          <w:szCs w:val="24"/>
        </w:rPr>
        <w:t>përbëhet kryesish</w:t>
      </w:r>
      <w:r w:rsidRPr="000F59B0">
        <w:rPr>
          <w:rFonts w:ascii="Times New Roman" w:hAnsi="Times New Roman" w:cs="Times New Roman"/>
          <w:noProof/>
          <w:sz w:val="24"/>
          <w:szCs w:val="24"/>
        </w:rPr>
        <w:t xml:space="preserve">t nga valuta vendase, </w:t>
      </w:r>
      <w:r w:rsidR="000E720A" w:rsidRPr="000F59B0">
        <w:rPr>
          <w:rFonts w:ascii="Times New Roman" w:hAnsi="Times New Roman" w:cs="Times New Roman"/>
          <w:noProof/>
          <w:sz w:val="24"/>
          <w:szCs w:val="24"/>
        </w:rPr>
        <w:t xml:space="preserve">dhe vetëm </w:t>
      </w:r>
      <w:r w:rsidR="00631091">
        <w:rPr>
          <w:rFonts w:ascii="Times New Roman" w:hAnsi="Times New Roman" w:cs="Times New Roman"/>
          <w:noProof/>
          <w:sz w:val="24"/>
          <w:szCs w:val="24"/>
        </w:rPr>
        <w:t>1.1</w:t>
      </w:r>
      <w:r w:rsidR="000E720A" w:rsidRPr="000F59B0">
        <w:rPr>
          <w:rFonts w:ascii="Times New Roman" w:hAnsi="Times New Roman" w:cs="Times New Roman"/>
          <w:noProof/>
          <w:sz w:val="24"/>
          <w:szCs w:val="24"/>
        </w:rPr>
        <w:t>% është në monedhën EUR</w:t>
      </w:r>
      <w:r w:rsidR="00CA2983" w:rsidRPr="000F59B0">
        <w:rPr>
          <w:rFonts w:ascii="Times New Roman" w:hAnsi="Times New Roman" w:cs="Times New Roman"/>
          <w:noProof/>
          <w:sz w:val="24"/>
          <w:szCs w:val="24"/>
        </w:rPr>
        <w:t>.</w:t>
      </w:r>
      <w:r w:rsidRPr="000F59B0">
        <w:rPr>
          <w:rFonts w:ascii="Times New Roman" w:hAnsi="Times New Roman" w:cs="Times New Roman"/>
          <w:noProof/>
          <w:sz w:val="24"/>
          <w:szCs w:val="24"/>
        </w:rPr>
        <w:t xml:space="preserve"> Ndërkohë, portofoli i </w:t>
      </w:r>
      <w:r w:rsidR="00265124" w:rsidRPr="000F59B0">
        <w:rPr>
          <w:rFonts w:ascii="Times New Roman" w:hAnsi="Times New Roman" w:cs="Times New Roman"/>
          <w:noProof/>
          <w:sz w:val="24"/>
          <w:szCs w:val="24"/>
        </w:rPr>
        <w:t>borxhit të jashtëm kompozohet te</w:t>
      </w:r>
      <w:r w:rsidRPr="000F59B0">
        <w:rPr>
          <w:rFonts w:ascii="Times New Roman" w:hAnsi="Times New Roman" w:cs="Times New Roman"/>
          <w:noProof/>
          <w:sz w:val="24"/>
          <w:szCs w:val="24"/>
        </w:rPr>
        <w:t>rësisht nga valuta</w:t>
      </w:r>
      <w:r w:rsidR="005E7EA0" w:rsidRPr="000F59B0">
        <w:rPr>
          <w:rFonts w:ascii="Times New Roman" w:hAnsi="Times New Roman" w:cs="Times New Roman"/>
          <w:noProof/>
          <w:sz w:val="24"/>
          <w:szCs w:val="24"/>
        </w:rPr>
        <w:t xml:space="preserve"> të huaja, ku mbizotëron me </w:t>
      </w:r>
      <w:r w:rsidR="00631091">
        <w:rPr>
          <w:rFonts w:ascii="Times New Roman" w:hAnsi="Times New Roman" w:cs="Times New Roman"/>
          <w:noProof/>
          <w:sz w:val="24"/>
          <w:szCs w:val="24"/>
        </w:rPr>
        <w:t>74.6</w:t>
      </w:r>
      <w:r w:rsidRPr="000F59B0">
        <w:rPr>
          <w:rFonts w:ascii="Times New Roman" w:hAnsi="Times New Roman" w:cs="Times New Roman"/>
          <w:noProof/>
          <w:sz w:val="24"/>
          <w:szCs w:val="24"/>
        </w:rPr>
        <w:t>% valut</w:t>
      </w:r>
      <w:r w:rsidR="005E7EA0" w:rsidRPr="000F59B0">
        <w:rPr>
          <w:rFonts w:ascii="Times New Roman" w:hAnsi="Times New Roman" w:cs="Times New Roman"/>
          <w:noProof/>
          <w:sz w:val="24"/>
          <w:szCs w:val="24"/>
        </w:rPr>
        <w:t xml:space="preserve">a EUR, e ndjekur nga USD me </w:t>
      </w:r>
      <w:r w:rsidR="00631091">
        <w:rPr>
          <w:rFonts w:ascii="Times New Roman" w:hAnsi="Times New Roman" w:cs="Times New Roman"/>
          <w:noProof/>
          <w:sz w:val="24"/>
          <w:szCs w:val="24"/>
        </w:rPr>
        <w:t>17.8</w:t>
      </w:r>
      <w:r w:rsidRPr="000F59B0">
        <w:rPr>
          <w:rFonts w:ascii="Times New Roman" w:hAnsi="Times New Roman" w:cs="Times New Roman"/>
          <w:noProof/>
          <w:sz w:val="24"/>
          <w:szCs w:val="24"/>
        </w:rPr>
        <w:t xml:space="preserve">%. </w:t>
      </w:r>
    </w:p>
    <w:p w14:paraId="73024D2E" w14:textId="5850869F" w:rsidR="00DE2758" w:rsidRDefault="00DE2758" w:rsidP="00F86DE1">
      <w:pPr>
        <w:shd w:val="clear" w:color="auto" w:fill="FFFFFF" w:themeFill="background1"/>
        <w:tabs>
          <w:tab w:val="left" w:pos="5081"/>
        </w:tabs>
        <w:spacing w:after="0" w:line="276" w:lineRule="auto"/>
        <w:ind w:right="-46"/>
        <w:jc w:val="both"/>
        <w:rPr>
          <w:rFonts w:ascii="Times New Roman" w:hAnsi="Times New Roman" w:cs="Times New Roman"/>
          <w:noProof/>
          <w:sz w:val="24"/>
          <w:szCs w:val="24"/>
          <w:highlight w:val="yellow"/>
        </w:rPr>
      </w:pPr>
    </w:p>
    <w:p w14:paraId="6BB6F80F" w14:textId="75B90CAF" w:rsidR="00A83367" w:rsidRPr="00174846" w:rsidRDefault="006D6418" w:rsidP="00A83367">
      <w:pPr>
        <w:shd w:val="clear" w:color="auto" w:fill="FFFFFF" w:themeFill="background1"/>
        <w:spacing w:after="0" w:line="276" w:lineRule="auto"/>
        <w:ind w:right="-46"/>
        <w:jc w:val="both"/>
        <w:rPr>
          <w:noProof/>
          <w:lang w:val="en-GB" w:eastAsia="en-GB"/>
        </w:rPr>
      </w:pPr>
      <w:r>
        <w:rPr>
          <w:noProof/>
          <w:lang w:val="en-US"/>
        </w:rPr>
        <mc:AlternateContent>
          <mc:Choice Requires="wps">
            <w:drawing>
              <wp:anchor distT="0" distB="0" distL="114300" distR="114300" simplePos="0" relativeHeight="251911168" behindDoc="0" locked="0" layoutInCell="1" allowOverlap="1" wp14:anchorId="771AECB2" wp14:editId="1A4D1043">
                <wp:simplePos x="0" y="0"/>
                <wp:positionH relativeFrom="column">
                  <wp:posOffset>-1216</wp:posOffset>
                </wp:positionH>
                <wp:positionV relativeFrom="paragraph">
                  <wp:posOffset>166735</wp:posOffset>
                </wp:positionV>
                <wp:extent cx="5894962" cy="2663190"/>
                <wp:effectExtent l="0" t="0" r="10795" b="22860"/>
                <wp:wrapNone/>
                <wp:docPr id="59" name="Rectangle 59"/>
                <wp:cNvGraphicFramePr/>
                <a:graphic xmlns:a="http://schemas.openxmlformats.org/drawingml/2006/main">
                  <a:graphicData uri="http://schemas.microsoft.com/office/word/2010/wordprocessingShape">
                    <wps:wsp>
                      <wps:cNvSpPr/>
                      <wps:spPr>
                        <a:xfrm>
                          <a:off x="0" y="0"/>
                          <a:ext cx="5894962" cy="2663190"/>
                        </a:xfrm>
                        <a:prstGeom prst="rect">
                          <a:avLst/>
                        </a:prstGeom>
                        <a:noFill/>
                        <a:ln w="3175"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93468" id="Rectangle 59" o:spid="_x0000_s1026" style="position:absolute;margin-left:-.1pt;margin-top:13.15pt;width:464.15pt;height:209.7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" filled="f" strokecolor="#bfbfbf" strokeweight=".25pt"/>
            </w:pict>
          </mc:Fallback>
        </mc:AlternateContent>
      </w:r>
      <w:r w:rsidR="00463687" w:rsidRPr="00463687">
        <w:rPr>
          <w:rFonts w:ascii="Times New Roman" w:hAnsi="Times New Roman" w:cs="Times New Roman"/>
          <w:noProof/>
          <w:sz w:val="24"/>
          <w:szCs w:val="24"/>
          <w:lang w:val="en-US"/>
        </w:rPr>
        <w:drawing>
          <wp:anchor distT="0" distB="0" distL="114300" distR="114300" simplePos="0" relativeHeight="251912192" behindDoc="1" locked="0" layoutInCell="1" allowOverlap="1" wp14:anchorId="274FC0ED" wp14:editId="74D6ECD9">
            <wp:simplePos x="0" y="0"/>
            <wp:positionH relativeFrom="column">
              <wp:posOffset>3763010</wp:posOffset>
            </wp:positionH>
            <wp:positionV relativeFrom="paragraph">
              <wp:posOffset>168910</wp:posOffset>
            </wp:positionV>
            <wp:extent cx="2052320" cy="1380490"/>
            <wp:effectExtent l="0" t="0" r="0" b="0"/>
            <wp:wrapTight wrapText="bothSides">
              <wp:wrapPolygon edited="0">
                <wp:start x="6015" y="298"/>
                <wp:lineTo x="4210" y="3577"/>
                <wp:lineTo x="4210" y="4471"/>
                <wp:lineTo x="6215" y="5663"/>
                <wp:lineTo x="5213" y="8346"/>
                <wp:lineTo x="4812" y="11327"/>
                <wp:lineTo x="5413" y="15201"/>
                <wp:lineTo x="8020" y="18480"/>
                <wp:lineTo x="8621" y="19076"/>
                <wp:lineTo x="11629" y="19076"/>
                <wp:lineTo x="14837" y="15798"/>
                <wp:lineTo x="14837" y="15201"/>
                <wp:lineTo x="15639" y="10432"/>
                <wp:lineTo x="14436" y="5961"/>
                <wp:lineTo x="14235" y="5663"/>
                <wp:lineTo x="15639" y="2981"/>
                <wp:lineTo x="15839" y="1192"/>
                <wp:lineTo x="15037" y="298"/>
                <wp:lineTo x="6015" y="298"/>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9050C3" w:rsidRPr="00174846">
        <w:rPr>
          <w:rFonts w:ascii="Cambria" w:hAnsi="Cambria" w:cs="Times New Roman"/>
          <w:b/>
          <w:noProof/>
          <w:sz w:val="20"/>
          <w:szCs w:val="20"/>
        </w:rPr>
        <w:t>Paraqitje Grafike 2 (d):</w:t>
      </w:r>
      <w:r w:rsidR="009050C3" w:rsidRPr="00174846">
        <w:rPr>
          <w:rFonts w:ascii="Cambria" w:hAnsi="Cambria" w:cs="Times New Roman"/>
          <w:noProof/>
          <w:sz w:val="20"/>
          <w:szCs w:val="20"/>
        </w:rPr>
        <w:t xml:space="preserve"> </w:t>
      </w:r>
      <w:r w:rsidR="009050C3" w:rsidRPr="00174846">
        <w:rPr>
          <w:rFonts w:ascii="Cambria" w:hAnsi="Cambria" w:cs="Times New Roman"/>
          <w:i/>
          <w:noProof/>
          <w:sz w:val="20"/>
          <w:szCs w:val="20"/>
        </w:rPr>
        <w:t>Kompozimi i borxhit shtetëror sipas</w:t>
      </w:r>
      <w:r w:rsidR="00694470" w:rsidRPr="00174846">
        <w:rPr>
          <w:rFonts w:ascii="Cambria" w:hAnsi="Cambria" w:cs="Times New Roman"/>
          <w:i/>
          <w:noProof/>
          <w:sz w:val="20"/>
          <w:szCs w:val="20"/>
        </w:rPr>
        <w:t xml:space="preserve"> </w:t>
      </w:r>
      <w:r w:rsidR="00463687">
        <w:rPr>
          <w:rFonts w:ascii="Cambria" w:hAnsi="Cambria" w:cs="Times New Roman"/>
          <w:i/>
          <w:noProof/>
          <w:sz w:val="20"/>
          <w:szCs w:val="20"/>
        </w:rPr>
        <w:t xml:space="preserve">valutës_Viti </w:t>
      </w:r>
      <w:r w:rsidR="009050C3" w:rsidRPr="00174846">
        <w:rPr>
          <w:rFonts w:ascii="Cambria" w:hAnsi="Cambria" w:cs="Times New Roman"/>
          <w:i/>
          <w:noProof/>
          <w:sz w:val="20"/>
          <w:szCs w:val="20"/>
        </w:rPr>
        <w:t>2022</w:t>
      </w:r>
      <w:r w:rsidR="000D4760" w:rsidRPr="00174846">
        <w:rPr>
          <w:rFonts w:ascii="Cambria" w:hAnsi="Cambria" w:cs="Times New Roman"/>
          <w:i/>
          <w:noProof/>
          <w:sz w:val="20"/>
          <w:szCs w:val="20"/>
        </w:rPr>
        <w:t>)</w:t>
      </w:r>
      <w:r w:rsidR="000D4760" w:rsidRPr="00174846">
        <w:rPr>
          <w:noProof/>
          <w:lang w:val="en-GB" w:eastAsia="en-GB"/>
        </w:rPr>
        <w:t xml:space="preserve">   </w:t>
      </w:r>
    </w:p>
    <w:p w14:paraId="75DBC6DD" w14:textId="21D4A48A" w:rsidR="00190E39" w:rsidRDefault="00463687" w:rsidP="004D18E6">
      <w:pPr>
        <w:spacing w:line="240" w:lineRule="auto"/>
        <w:rPr>
          <w:noProof/>
          <w:lang w:val="en-US"/>
        </w:rPr>
      </w:pPr>
      <w:r w:rsidRPr="0072272D">
        <w:rPr>
          <w:rFonts w:ascii="Calibri" w:eastAsia="Times New Roman" w:hAnsi="Calibri" w:cs="Calibri"/>
          <w:noProof/>
          <w:color w:val="000000"/>
          <w:lang w:val="en-US"/>
        </w:rPr>
        <mc:AlternateContent>
          <mc:Choice Requires="wps">
            <w:drawing>
              <wp:anchor distT="0" distB="0" distL="114300" distR="114300" simplePos="0" relativeHeight="251904000" behindDoc="0" locked="0" layoutInCell="1" allowOverlap="1" wp14:anchorId="3970B5DC" wp14:editId="060BD2F0">
                <wp:simplePos x="0" y="0"/>
                <wp:positionH relativeFrom="column">
                  <wp:posOffset>2245872</wp:posOffset>
                </wp:positionH>
                <wp:positionV relativeFrom="paragraph">
                  <wp:posOffset>685949</wp:posOffset>
                </wp:positionV>
                <wp:extent cx="1517515" cy="460929"/>
                <wp:effectExtent l="0" t="38100" r="64135" b="34925"/>
                <wp:wrapNone/>
                <wp:docPr id="21" name="Straight Arrow Connector 2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microsoft.com/office/word/2010/wordprocessingShape">
                    <wps:wsp>
                      <wps:cNvCnPr/>
                      <wps:spPr>
                        <a:xfrm flipV="1">
                          <a:off x="0" y="0"/>
                          <a:ext cx="1517515" cy="4609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79878D6" id="_x0000_t32" coordsize="21600,21600" o:spt="32" o:oned="t" path="m,l21600,21600e" filled="f">
                <v:path arrowok="t" fillok="f" o:connecttype="none"/>
                <o:lock v:ext="edit" shapetype="t"/>
              </v:shapetype>
              <v:shape id="Straight Arrow Connector 21" o:spid="_x0000_s1026" type="#_x0000_t32" style="position:absolute;margin-left:176.85pt;margin-top:54pt;width:119.5pt;height:36.3pt;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" strokecolor="black [3213]" strokeweight=".5pt">
                <v:stroke endarrow="block" joinstyle="miter"/>
              </v:shape>
            </w:pict>
          </mc:Fallback>
        </mc:AlternateContent>
      </w:r>
      <w:r w:rsidRPr="0072272D">
        <w:rPr>
          <w:rFonts w:ascii="Calibri" w:eastAsia="Times New Roman" w:hAnsi="Calibri" w:cs="Calibri"/>
          <w:noProof/>
          <w:color w:val="000000"/>
          <w:lang w:val="en-US"/>
        </w:rPr>
        <w:drawing>
          <wp:anchor distT="0" distB="0" distL="114300" distR="114300" simplePos="0" relativeHeight="251900928" behindDoc="0" locked="0" layoutInCell="1" allowOverlap="1" wp14:anchorId="33FD8307" wp14:editId="4ABD5D30">
            <wp:simplePos x="0" y="0"/>
            <wp:positionH relativeFrom="column">
              <wp:posOffset>57150</wp:posOffset>
            </wp:positionH>
            <wp:positionV relativeFrom="paragraph">
              <wp:posOffset>85820</wp:posOffset>
            </wp:positionV>
            <wp:extent cx="2217771" cy="2449830"/>
            <wp:effectExtent l="0" t="0" r="0" b="0"/>
            <wp:wrapNone/>
            <wp:docPr id="20" name="Chart 20">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72272D">
        <w:rPr>
          <w:noProof/>
          <w:lang w:val="en-US"/>
        </w:rPr>
        <w:t xml:space="preserve">                           </w:t>
      </w:r>
      <w:r w:rsidR="004D18E6">
        <w:rPr>
          <w:noProof/>
          <w:lang w:val="en-US"/>
        </w:rPr>
        <w:t xml:space="preserve">    </w:t>
      </w:r>
    </w:p>
    <w:tbl>
      <w:tblPr>
        <w:tblW w:w="920" w:type="dxa"/>
        <w:tblInd w:w="25" w:type="dxa"/>
        <w:tblLook w:val="04A0" w:firstRow="1" w:lastRow="0" w:firstColumn="1" w:lastColumn="0" w:noHBand="0" w:noVBand="1"/>
      </w:tblPr>
      <w:tblGrid>
        <w:gridCol w:w="274"/>
        <w:gridCol w:w="68"/>
        <w:gridCol w:w="160"/>
        <w:gridCol w:w="38"/>
        <w:gridCol w:w="76"/>
        <w:gridCol w:w="304"/>
      </w:tblGrid>
      <w:tr w:rsidR="0072272D" w:rsidRPr="0072272D" w14:paraId="2F5D8498" w14:textId="7321B7A0" w:rsidTr="0072272D">
        <w:trPr>
          <w:gridAfter w:val="3"/>
          <w:wAfter w:w="418" w:type="dxa"/>
          <w:trHeight w:val="244"/>
        </w:trPr>
        <w:tc>
          <w:tcPr>
            <w:tcW w:w="502" w:type="dxa"/>
            <w:gridSpan w:val="3"/>
            <w:tcBorders>
              <w:top w:val="nil"/>
              <w:left w:val="nil"/>
              <w:bottom w:val="nil"/>
              <w:right w:val="nil"/>
            </w:tcBorders>
            <w:shd w:val="clear" w:color="auto" w:fill="auto"/>
            <w:noWrap/>
            <w:vAlign w:val="bottom"/>
            <w:hideMark/>
          </w:tcPr>
          <w:p w14:paraId="731E2CDA" w14:textId="1F33FC3D" w:rsidR="0072272D" w:rsidRPr="0072272D" w:rsidRDefault="0072272D" w:rsidP="0072272D">
            <w:pPr>
              <w:spacing w:after="0" w:line="240" w:lineRule="auto"/>
              <w:rPr>
                <w:rFonts w:ascii="Calibri" w:eastAsia="Times New Roman" w:hAnsi="Calibri" w:cs="Calibri"/>
                <w:color w:val="000000"/>
                <w:lang w:val="en-GB" w:eastAsia="en-GB"/>
              </w:rPr>
            </w:pPr>
          </w:p>
        </w:tc>
      </w:tr>
      <w:tr w:rsidR="0072272D" w:rsidRPr="0072272D" w14:paraId="11414664" w14:textId="77777777" w:rsidTr="0072272D">
        <w:trPr>
          <w:trHeight w:val="244"/>
        </w:trPr>
        <w:tc>
          <w:tcPr>
            <w:tcW w:w="342" w:type="dxa"/>
            <w:gridSpan w:val="2"/>
            <w:tcBorders>
              <w:top w:val="nil"/>
              <w:left w:val="nil"/>
              <w:bottom w:val="nil"/>
              <w:right w:val="nil"/>
            </w:tcBorders>
            <w:shd w:val="clear" w:color="000000" w:fill="FFFFFF"/>
            <w:noWrap/>
            <w:vAlign w:val="bottom"/>
            <w:hideMark/>
          </w:tcPr>
          <w:p w14:paraId="109276E9" w14:textId="3DCDC441" w:rsidR="0072272D" w:rsidRPr="0072272D" w:rsidRDefault="0072272D" w:rsidP="0072272D">
            <w:pPr>
              <w:spacing w:after="0" w:line="240" w:lineRule="auto"/>
              <w:rPr>
                <w:rFonts w:ascii="Calibri" w:eastAsia="Times New Roman" w:hAnsi="Calibri" w:cs="Calibri"/>
                <w:color w:val="000000"/>
                <w:lang w:val="en-GB" w:eastAsia="en-GB"/>
              </w:rPr>
            </w:pPr>
            <w:r w:rsidRPr="0072272D">
              <w:rPr>
                <w:rFonts w:ascii="Calibri" w:eastAsia="Times New Roman" w:hAnsi="Calibri" w:cs="Calibri"/>
                <w:color w:val="000000"/>
                <w:lang w:val="en-GB" w:eastAsia="en-GB"/>
              </w:rPr>
              <w:t> </w:t>
            </w:r>
          </w:p>
        </w:tc>
        <w:tc>
          <w:tcPr>
            <w:tcW w:w="274" w:type="dxa"/>
            <w:gridSpan w:val="3"/>
            <w:tcBorders>
              <w:top w:val="nil"/>
              <w:left w:val="nil"/>
              <w:bottom w:val="nil"/>
              <w:right w:val="nil"/>
            </w:tcBorders>
            <w:shd w:val="clear" w:color="000000" w:fill="FFFFFF"/>
            <w:noWrap/>
            <w:vAlign w:val="bottom"/>
            <w:hideMark/>
          </w:tcPr>
          <w:p w14:paraId="5DE88D6D" w14:textId="77777777" w:rsidR="0072272D" w:rsidRPr="0072272D" w:rsidRDefault="0072272D" w:rsidP="0072272D">
            <w:pPr>
              <w:spacing w:after="0" w:line="240" w:lineRule="auto"/>
              <w:rPr>
                <w:rFonts w:ascii="Calibri" w:eastAsia="Times New Roman" w:hAnsi="Calibri" w:cs="Calibri"/>
                <w:color w:val="000000"/>
                <w:lang w:val="en-GB" w:eastAsia="en-GB"/>
              </w:rPr>
            </w:pPr>
            <w:r w:rsidRPr="0072272D">
              <w:rPr>
                <w:rFonts w:ascii="Calibri" w:eastAsia="Times New Roman" w:hAnsi="Calibri" w:cs="Calibri"/>
                <w:color w:val="000000"/>
                <w:lang w:val="en-GB" w:eastAsia="en-GB"/>
              </w:rPr>
              <w:t> </w:t>
            </w:r>
          </w:p>
        </w:tc>
        <w:tc>
          <w:tcPr>
            <w:tcW w:w="304" w:type="dxa"/>
            <w:tcBorders>
              <w:top w:val="nil"/>
              <w:left w:val="nil"/>
              <w:bottom w:val="nil"/>
              <w:right w:val="nil"/>
            </w:tcBorders>
            <w:shd w:val="clear" w:color="000000" w:fill="FFFFFF"/>
            <w:noWrap/>
            <w:vAlign w:val="bottom"/>
            <w:hideMark/>
          </w:tcPr>
          <w:p w14:paraId="3D86850F" w14:textId="77777777" w:rsidR="0072272D" w:rsidRPr="0072272D" w:rsidRDefault="0072272D" w:rsidP="0072272D">
            <w:pPr>
              <w:spacing w:after="0" w:line="240" w:lineRule="auto"/>
              <w:rPr>
                <w:rFonts w:ascii="Calibri" w:eastAsia="Times New Roman" w:hAnsi="Calibri" w:cs="Calibri"/>
                <w:color w:val="000000"/>
                <w:lang w:val="en-GB" w:eastAsia="en-GB"/>
              </w:rPr>
            </w:pPr>
            <w:r w:rsidRPr="0072272D">
              <w:rPr>
                <w:rFonts w:ascii="Calibri" w:eastAsia="Times New Roman" w:hAnsi="Calibri" w:cs="Calibri"/>
                <w:color w:val="000000"/>
                <w:lang w:val="en-GB" w:eastAsia="en-GB"/>
              </w:rPr>
              <w:t> </w:t>
            </w:r>
          </w:p>
        </w:tc>
      </w:tr>
      <w:tr w:rsidR="0072272D" w:rsidRPr="0072272D" w14:paraId="1AEA1CD5" w14:textId="2744F27E" w:rsidTr="0072272D">
        <w:trPr>
          <w:gridAfter w:val="2"/>
          <w:wAfter w:w="380" w:type="dxa"/>
          <w:trHeight w:val="244"/>
        </w:trPr>
        <w:tc>
          <w:tcPr>
            <w:tcW w:w="274" w:type="dxa"/>
            <w:tcBorders>
              <w:top w:val="nil"/>
              <w:left w:val="nil"/>
              <w:bottom w:val="nil"/>
              <w:right w:val="nil"/>
            </w:tcBorders>
            <w:shd w:val="clear" w:color="000000" w:fill="FFFFFF"/>
            <w:noWrap/>
            <w:vAlign w:val="bottom"/>
            <w:hideMark/>
          </w:tcPr>
          <w:p w14:paraId="44A1B120" w14:textId="03BC9139" w:rsidR="0072272D" w:rsidRPr="0072272D" w:rsidRDefault="0072272D" w:rsidP="0072272D">
            <w:pPr>
              <w:spacing w:after="0" w:line="240" w:lineRule="auto"/>
              <w:rPr>
                <w:rFonts w:ascii="Calibri" w:eastAsia="Times New Roman" w:hAnsi="Calibri" w:cs="Calibri"/>
                <w:color w:val="000000"/>
                <w:lang w:val="en-GB" w:eastAsia="en-GB"/>
              </w:rPr>
            </w:pPr>
            <w:r w:rsidRPr="0072272D">
              <w:rPr>
                <w:rFonts w:ascii="Calibri" w:eastAsia="Times New Roman" w:hAnsi="Calibri" w:cs="Calibri"/>
                <w:color w:val="000000"/>
                <w:lang w:val="en-GB" w:eastAsia="en-GB"/>
              </w:rPr>
              <w:t> </w:t>
            </w:r>
          </w:p>
        </w:tc>
        <w:tc>
          <w:tcPr>
            <w:tcW w:w="266" w:type="dxa"/>
            <w:gridSpan w:val="3"/>
            <w:tcBorders>
              <w:top w:val="nil"/>
              <w:left w:val="nil"/>
              <w:bottom w:val="nil"/>
              <w:right w:val="nil"/>
            </w:tcBorders>
            <w:shd w:val="clear" w:color="000000" w:fill="FFFFFF"/>
          </w:tcPr>
          <w:p w14:paraId="1B178612" w14:textId="77777777" w:rsidR="0072272D" w:rsidRPr="0072272D" w:rsidRDefault="0072272D" w:rsidP="0072272D">
            <w:pPr>
              <w:spacing w:after="0" w:line="240" w:lineRule="auto"/>
              <w:rPr>
                <w:rFonts w:ascii="Calibri" w:eastAsia="Times New Roman" w:hAnsi="Calibri" w:cs="Calibri"/>
                <w:color w:val="000000"/>
                <w:lang w:val="en-GB" w:eastAsia="en-GB"/>
              </w:rPr>
            </w:pPr>
          </w:p>
        </w:tc>
      </w:tr>
      <w:tr w:rsidR="0072272D" w:rsidRPr="0072272D" w14:paraId="6193BB8F" w14:textId="707F2027" w:rsidTr="0072272D">
        <w:trPr>
          <w:gridAfter w:val="2"/>
          <w:wAfter w:w="380" w:type="dxa"/>
          <w:trHeight w:val="256"/>
        </w:trPr>
        <w:tc>
          <w:tcPr>
            <w:tcW w:w="274" w:type="dxa"/>
            <w:tcBorders>
              <w:top w:val="nil"/>
              <w:left w:val="nil"/>
              <w:bottom w:val="nil"/>
              <w:right w:val="nil"/>
            </w:tcBorders>
            <w:shd w:val="clear" w:color="000000" w:fill="FFFFFF"/>
            <w:noWrap/>
            <w:vAlign w:val="bottom"/>
            <w:hideMark/>
          </w:tcPr>
          <w:p w14:paraId="0D5090F0" w14:textId="77777777" w:rsidR="0072272D" w:rsidRPr="0072272D" w:rsidRDefault="0072272D" w:rsidP="0072272D">
            <w:pPr>
              <w:spacing w:after="0" w:line="240" w:lineRule="auto"/>
              <w:rPr>
                <w:rFonts w:ascii="Calibri" w:eastAsia="Times New Roman" w:hAnsi="Calibri" w:cs="Calibri"/>
                <w:color w:val="000000"/>
                <w:lang w:val="en-GB" w:eastAsia="en-GB"/>
              </w:rPr>
            </w:pPr>
            <w:r w:rsidRPr="0072272D">
              <w:rPr>
                <w:rFonts w:ascii="Calibri" w:eastAsia="Times New Roman" w:hAnsi="Calibri" w:cs="Calibri"/>
                <w:color w:val="000000"/>
                <w:lang w:val="en-GB" w:eastAsia="en-GB"/>
              </w:rPr>
              <w:t> </w:t>
            </w:r>
          </w:p>
        </w:tc>
        <w:tc>
          <w:tcPr>
            <w:tcW w:w="266" w:type="dxa"/>
            <w:gridSpan w:val="3"/>
            <w:tcBorders>
              <w:top w:val="nil"/>
              <w:left w:val="nil"/>
              <w:bottom w:val="nil"/>
              <w:right w:val="nil"/>
            </w:tcBorders>
            <w:shd w:val="clear" w:color="000000" w:fill="FFFFFF"/>
          </w:tcPr>
          <w:p w14:paraId="58015A2C" w14:textId="77777777" w:rsidR="0072272D" w:rsidRPr="0072272D" w:rsidRDefault="0072272D" w:rsidP="0072272D">
            <w:pPr>
              <w:spacing w:after="0" w:line="240" w:lineRule="auto"/>
              <w:rPr>
                <w:rFonts w:ascii="Calibri" w:eastAsia="Times New Roman" w:hAnsi="Calibri" w:cs="Calibri"/>
                <w:color w:val="000000"/>
                <w:lang w:val="en-GB" w:eastAsia="en-GB"/>
              </w:rPr>
            </w:pPr>
          </w:p>
        </w:tc>
      </w:tr>
    </w:tbl>
    <w:p w14:paraId="6E2B4279" w14:textId="1CA2D5F9" w:rsidR="00306863" w:rsidRPr="004D18E6" w:rsidRDefault="00306863" w:rsidP="004D18E6">
      <w:pPr>
        <w:spacing w:line="240" w:lineRule="auto"/>
        <w:rPr>
          <w:noProof/>
          <w:highlight w:val="yellow"/>
          <w:lang w:val="en-US"/>
        </w:rPr>
      </w:pPr>
    </w:p>
    <w:p w14:paraId="302796FF" w14:textId="58D929A7" w:rsidR="0072272D" w:rsidRDefault="00463687" w:rsidP="002D32AC">
      <w:pPr>
        <w:rPr>
          <w:lang w:val="en-GB" w:eastAsia="en-GB"/>
        </w:rPr>
      </w:pPr>
      <w:r w:rsidRPr="0072272D">
        <w:rPr>
          <w:rFonts w:ascii="Calibri" w:eastAsia="Times New Roman" w:hAnsi="Calibri" w:cs="Calibri"/>
          <w:noProof/>
          <w:color w:val="000000"/>
          <w:lang w:val="en-US"/>
        </w:rPr>
        <mc:AlternateContent>
          <mc:Choice Requires="wps">
            <w:drawing>
              <wp:anchor distT="0" distB="0" distL="114300" distR="114300" simplePos="0" relativeHeight="251905024" behindDoc="0" locked="0" layoutInCell="1" allowOverlap="1" wp14:anchorId="3600E1F1" wp14:editId="01D57FD7">
                <wp:simplePos x="0" y="0"/>
                <wp:positionH relativeFrom="margin">
                  <wp:posOffset>2275056</wp:posOffset>
                </wp:positionH>
                <wp:positionV relativeFrom="paragraph">
                  <wp:posOffset>107301</wp:posOffset>
                </wp:positionV>
                <wp:extent cx="1420239" cy="379379"/>
                <wp:effectExtent l="0" t="0" r="46990" b="78105"/>
                <wp:wrapNone/>
                <wp:docPr id="18" name="Straight Arrow Connector 18">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microsoft.com/office/word/2010/wordprocessingShape">
                    <wps:wsp>
                      <wps:cNvCnPr/>
                      <wps:spPr>
                        <a:xfrm>
                          <a:off x="0" y="0"/>
                          <a:ext cx="1420239" cy="3793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4E3AFF" id="Straight Arrow Connector 18" o:spid="_x0000_s1026" type="#_x0000_t32" style="position:absolute;margin-left:179.15pt;margin-top:8.45pt;width:111.85pt;height:29.8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" strokecolor="black [3213]" strokeweight=".5pt">
                <v:stroke endarrow="block" joinstyle="miter"/>
                <w10:wrap anchorx="margin"/>
              </v:shape>
            </w:pict>
          </mc:Fallback>
        </mc:AlternateContent>
      </w:r>
      <w:r w:rsidRPr="0072272D">
        <w:rPr>
          <w:rFonts w:ascii="Calibri" w:eastAsia="Times New Roman" w:hAnsi="Calibri" w:cs="Calibri"/>
          <w:noProof/>
          <w:color w:val="000000"/>
          <w:lang w:val="en-US"/>
        </w:rPr>
        <w:drawing>
          <wp:anchor distT="0" distB="0" distL="114300" distR="114300" simplePos="0" relativeHeight="251901952" behindDoc="0" locked="0" layoutInCell="1" allowOverlap="1" wp14:anchorId="1F986FAC" wp14:editId="7695FD1F">
            <wp:simplePos x="0" y="0"/>
            <wp:positionH relativeFrom="margin">
              <wp:posOffset>3695294</wp:posOffset>
            </wp:positionH>
            <wp:positionV relativeFrom="paragraph">
              <wp:posOffset>45774</wp:posOffset>
            </wp:positionV>
            <wp:extent cx="2295727" cy="1312545"/>
            <wp:effectExtent l="0" t="0" r="0" b="1905"/>
            <wp:wrapNone/>
            <wp:docPr id="19" name="Chart 19">
              <a:extLst xmlns:a="http://schemas.openxmlformats.org/drawingml/2006/main">
                <a:ext uri="{FF2B5EF4-FFF2-40B4-BE49-F238E27FC236}">
                  <a16:creationId xmlns:a16="http://schemas.microsoft.com/office/drawing/2014/main" id="{00000000-0008-0000-0300-000004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79D88C99" w14:textId="39B1D7F0" w:rsidR="0072272D" w:rsidRDefault="0072272D" w:rsidP="002D32AC">
      <w:pPr>
        <w:rPr>
          <w:lang w:val="en-GB" w:eastAsia="en-GB"/>
        </w:rPr>
      </w:pPr>
    </w:p>
    <w:p w14:paraId="0396D33B" w14:textId="6413D3F5" w:rsidR="0072272D" w:rsidRDefault="0072272D" w:rsidP="002D32AC">
      <w:pPr>
        <w:rPr>
          <w:lang w:val="en-GB" w:eastAsia="en-GB"/>
        </w:rPr>
      </w:pPr>
    </w:p>
    <w:p w14:paraId="4C322579" w14:textId="3A7987CE" w:rsidR="0072272D" w:rsidRDefault="0072272D" w:rsidP="002D32AC">
      <w:pPr>
        <w:rPr>
          <w:lang w:val="en-GB" w:eastAsia="en-GB"/>
        </w:rPr>
      </w:pPr>
    </w:p>
    <w:p w14:paraId="2FB13754" w14:textId="77777777" w:rsidR="00273E46" w:rsidRDefault="00273E46" w:rsidP="002D32AC">
      <w:pPr>
        <w:rPr>
          <w:highlight w:val="yellow"/>
          <w:lang w:val="en-GB" w:eastAsia="en-GB"/>
        </w:rPr>
      </w:pPr>
    </w:p>
    <w:p w14:paraId="1CA95D71" w14:textId="731C79EF" w:rsidR="00DE2758" w:rsidRPr="00463687" w:rsidRDefault="000D4760" w:rsidP="00463687">
      <w:pPr>
        <w:jc w:val="center"/>
        <w:rPr>
          <w:rFonts w:ascii="Cambria" w:hAnsi="Cambria" w:cs="Times New Roman"/>
          <w:i/>
          <w:noProof/>
          <w:sz w:val="20"/>
          <w:szCs w:val="20"/>
        </w:rPr>
      </w:pPr>
      <w:r w:rsidRPr="00174846">
        <w:rPr>
          <w:rFonts w:ascii="Cambria" w:hAnsi="Cambria" w:cs="Times New Roman"/>
          <w:b/>
          <w:noProof/>
          <w:sz w:val="20"/>
          <w:szCs w:val="20"/>
        </w:rPr>
        <w:t xml:space="preserve">Burimi: </w:t>
      </w:r>
      <w:r w:rsidR="00640A13" w:rsidRPr="00174846">
        <w:rPr>
          <w:rFonts w:ascii="Cambria" w:hAnsi="Cambria" w:cs="Times New Roman"/>
          <w:i/>
          <w:noProof/>
          <w:sz w:val="20"/>
          <w:szCs w:val="20"/>
        </w:rPr>
        <w:t>Financave dhe Ekonomisë (202</w:t>
      </w:r>
      <w:r w:rsidR="00463687">
        <w:rPr>
          <w:rFonts w:ascii="Cambria" w:hAnsi="Cambria" w:cs="Times New Roman"/>
          <w:i/>
          <w:noProof/>
          <w:sz w:val="20"/>
          <w:szCs w:val="20"/>
        </w:rPr>
        <w:t>3</w:t>
      </w:r>
      <w:r w:rsidR="00640A13" w:rsidRPr="00174846">
        <w:rPr>
          <w:rFonts w:ascii="Cambria" w:hAnsi="Cambria" w:cs="Times New Roman"/>
          <w:i/>
          <w:noProof/>
          <w:sz w:val="20"/>
          <w:szCs w:val="20"/>
        </w:rPr>
        <w:t>)</w:t>
      </w:r>
    </w:p>
    <w:p w14:paraId="5EE12690" w14:textId="4A224B3A" w:rsidR="00AA203D" w:rsidRPr="00DB3C91" w:rsidRDefault="003C1892" w:rsidP="00B92540">
      <w:pPr>
        <w:pStyle w:val="Heading1"/>
        <w:numPr>
          <w:ilvl w:val="0"/>
          <w:numId w:val="5"/>
        </w:numPr>
        <w:tabs>
          <w:tab w:val="left" w:pos="851"/>
        </w:tabs>
        <w:spacing w:before="0" w:after="240" w:line="276" w:lineRule="auto"/>
        <w:ind w:left="426" w:right="-188" w:hanging="426"/>
        <w:jc w:val="both"/>
        <w:rPr>
          <w:rFonts w:ascii="Cambria" w:hAnsi="Cambria"/>
          <w:sz w:val="24"/>
          <w:szCs w:val="24"/>
        </w:rPr>
      </w:pPr>
      <w:bookmarkStart w:id="4" w:name="_Toc483994729"/>
      <w:bookmarkStart w:id="5" w:name="_Toc491860988"/>
      <w:bookmarkStart w:id="6" w:name="_Toc491954301"/>
      <w:bookmarkStart w:id="7" w:name="_Toc34645063"/>
      <w:r w:rsidRPr="00DB3C91">
        <w:rPr>
          <w:rFonts w:ascii="Cambria" w:hAnsi="Cambria"/>
          <w:sz w:val="24"/>
          <w:szCs w:val="24"/>
        </w:rPr>
        <w:lastRenderedPageBreak/>
        <w:t>Borxhi Shtetëror</w:t>
      </w:r>
      <w:r w:rsidR="00470B7D" w:rsidRPr="00DB3C91">
        <w:rPr>
          <w:rFonts w:ascii="Cambria" w:hAnsi="Cambria"/>
          <w:sz w:val="24"/>
          <w:szCs w:val="24"/>
        </w:rPr>
        <w:t xml:space="preserve"> </w:t>
      </w:r>
      <w:r w:rsidRPr="00DB3C91">
        <w:rPr>
          <w:rFonts w:ascii="Cambria" w:hAnsi="Cambria"/>
          <w:sz w:val="24"/>
          <w:szCs w:val="24"/>
        </w:rPr>
        <w:t>i</w:t>
      </w:r>
      <w:r w:rsidR="00470B7D" w:rsidRPr="00DB3C91">
        <w:rPr>
          <w:rFonts w:ascii="Cambria" w:hAnsi="Cambria"/>
          <w:sz w:val="24"/>
          <w:szCs w:val="24"/>
        </w:rPr>
        <w:t xml:space="preserve"> </w:t>
      </w:r>
      <w:hyperlink w:anchor="_Toc480457956" w:history="1">
        <w:r w:rsidR="00470B7D" w:rsidRPr="00DB3C91">
          <w:rPr>
            <w:rFonts w:ascii="Cambria" w:hAnsi="Cambria"/>
            <w:sz w:val="24"/>
            <w:szCs w:val="24"/>
          </w:rPr>
          <w:t>Garan</w:t>
        </w:r>
      </w:hyperlink>
      <w:bookmarkEnd w:id="4"/>
      <w:r w:rsidR="00470B7D" w:rsidRPr="00DB3C91">
        <w:rPr>
          <w:rFonts w:ascii="Cambria" w:hAnsi="Cambria"/>
          <w:sz w:val="24"/>
          <w:szCs w:val="24"/>
        </w:rPr>
        <w:t>tuar</w:t>
      </w:r>
      <w:bookmarkEnd w:id="5"/>
      <w:bookmarkEnd w:id="6"/>
      <w:bookmarkEnd w:id="7"/>
    </w:p>
    <w:p w14:paraId="43B36119" w14:textId="7D8C96A7" w:rsidR="00DE2758" w:rsidRDefault="00DB3C91" w:rsidP="006D6418">
      <w:pPr>
        <w:tabs>
          <w:tab w:val="left" w:pos="270"/>
        </w:tabs>
        <w:spacing w:after="0" w:line="276" w:lineRule="auto"/>
        <w:ind w:right="-34"/>
        <w:jc w:val="both"/>
        <w:rPr>
          <w:rFonts w:ascii="Times New Roman" w:hAnsi="Times New Roman" w:cs="Times New Roman"/>
          <w:noProof/>
          <w:sz w:val="24"/>
          <w:szCs w:val="24"/>
        </w:rPr>
      </w:pPr>
      <w:r w:rsidRPr="00DB3C91">
        <w:rPr>
          <w:rFonts w:ascii="Times New Roman" w:hAnsi="Times New Roman" w:cs="Times New Roman"/>
          <w:noProof/>
          <w:sz w:val="24"/>
          <w:szCs w:val="24"/>
        </w:rPr>
        <w:t xml:space="preserve">Në fund të muajit </w:t>
      </w:r>
      <w:r w:rsidR="00897A61">
        <w:rPr>
          <w:rFonts w:ascii="Times New Roman" w:hAnsi="Times New Roman" w:cs="Times New Roman"/>
          <w:noProof/>
          <w:sz w:val="24"/>
          <w:szCs w:val="24"/>
        </w:rPr>
        <w:t>dhjetor</w:t>
      </w:r>
      <w:r w:rsidRPr="00DB3C91">
        <w:rPr>
          <w:rFonts w:ascii="Times New Roman" w:hAnsi="Times New Roman" w:cs="Times New Roman"/>
          <w:noProof/>
          <w:sz w:val="24"/>
          <w:szCs w:val="24"/>
        </w:rPr>
        <w:t xml:space="preserve"> 2022, portofoli i borxhit</w:t>
      </w:r>
      <w:r w:rsidR="00897A61">
        <w:rPr>
          <w:rFonts w:ascii="Times New Roman" w:hAnsi="Times New Roman" w:cs="Times New Roman"/>
          <w:noProof/>
          <w:sz w:val="24"/>
          <w:szCs w:val="24"/>
        </w:rPr>
        <w:t xml:space="preserve"> të garantuar vlerësohet në 52.2</w:t>
      </w:r>
      <w:r w:rsidRPr="00DB3C91">
        <w:rPr>
          <w:rFonts w:ascii="Times New Roman" w:hAnsi="Times New Roman" w:cs="Times New Roman"/>
          <w:noProof/>
          <w:sz w:val="24"/>
          <w:szCs w:val="24"/>
        </w:rPr>
        <w:t xml:space="preserve"> miliard Lekë (</w:t>
      </w:r>
      <w:r w:rsidR="00897A61">
        <w:rPr>
          <w:rFonts w:ascii="Times New Roman" w:hAnsi="Times New Roman" w:cs="Times New Roman"/>
          <w:i/>
          <w:noProof/>
          <w:sz w:val="24"/>
          <w:szCs w:val="24"/>
        </w:rPr>
        <w:t>2.4</w:t>
      </w:r>
      <w:r w:rsidRPr="004900A0">
        <w:rPr>
          <w:rFonts w:ascii="Times New Roman" w:hAnsi="Times New Roman" w:cs="Times New Roman"/>
          <w:i/>
          <w:noProof/>
          <w:sz w:val="24"/>
          <w:szCs w:val="24"/>
        </w:rPr>
        <w:t>% e PBB</w:t>
      </w:r>
      <w:r w:rsidRPr="00DB3C91">
        <w:rPr>
          <w:rFonts w:ascii="Times New Roman" w:hAnsi="Times New Roman" w:cs="Times New Roman"/>
          <w:noProof/>
          <w:sz w:val="24"/>
          <w:szCs w:val="24"/>
        </w:rPr>
        <w:t xml:space="preserve">) ose </w:t>
      </w:r>
      <w:r w:rsidR="00463687">
        <w:rPr>
          <w:rFonts w:ascii="Times New Roman" w:hAnsi="Times New Roman" w:cs="Times New Roman"/>
          <w:noProof/>
          <w:sz w:val="24"/>
          <w:szCs w:val="24"/>
        </w:rPr>
        <w:t>3.8</w:t>
      </w:r>
      <w:r w:rsidRPr="00DB3C91">
        <w:rPr>
          <w:rFonts w:ascii="Times New Roman" w:hAnsi="Times New Roman" w:cs="Times New Roman"/>
          <w:noProof/>
          <w:sz w:val="24"/>
          <w:szCs w:val="24"/>
        </w:rPr>
        <w:t>% e portofolit të borxhit të qeverisjes qendrore. Garanci</w:t>
      </w:r>
      <w:r w:rsidR="008B48C4">
        <w:rPr>
          <w:rFonts w:ascii="Times New Roman" w:hAnsi="Times New Roman" w:cs="Times New Roman"/>
          <w:noProof/>
          <w:sz w:val="24"/>
          <w:szCs w:val="24"/>
        </w:rPr>
        <w:t>t</w:t>
      </w:r>
      <w:r w:rsidR="00897A61">
        <w:rPr>
          <w:rFonts w:ascii="Times New Roman" w:hAnsi="Times New Roman" w:cs="Times New Roman"/>
          <w:noProof/>
          <w:sz w:val="24"/>
          <w:szCs w:val="24"/>
        </w:rPr>
        <w:t>ë në tregun e brendshëm zënë 38</w:t>
      </w:r>
      <w:r w:rsidR="00BE6BE6">
        <w:rPr>
          <w:rFonts w:ascii="Times New Roman" w:hAnsi="Times New Roman" w:cs="Times New Roman"/>
          <w:noProof/>
          <w:sz w:val="24"/>
          <w:szCs w:val="24"/>
        </w:rPr>
        <w:t>.1</w:t>
      </w:r>
      <w:r w:rsidRPr="00DB3C91">
        <w:rPr>
          <w:rFonts w:ascii="Times New Roman" w:hAnsi="Times New Roman" w:cs="Times New Roman"/>
          <w:noProof/>
          <w:sz w:val="24"/>
          <w:szCs w:val="24"/>
        </w:rPr>
        <w:t xml:space="preserve">% të stokut total të borxhit të garantuar ose </w:t>
      </w:r>
      <w:r w:rsidR="00897A61">
        <w:rPr>
          <w:rFonts w:ascii="Times New Roman" w:hAnsi="Times New Roman" w:cs="Times New Roman"/>
          <w:noProof/>
          <w:sz w:val="24"/>
          <w:szCs w:val="24"/>
        </w:rPr>
        <w:t>19</w:t>
      </w:r>
      <w:r w:rsidR="009E7A70">
        <w:rPr>
          <w:rFonts w:ascii="Times New Roman" w:hAnsi="Times New Roman" w:cs="Times New Roman"/>
          <w:noProof/>
          <w:sz w:val="24"/>
          <w:szCs w:val="24"/>
        </w:rPr>
        <w:t>.9</w:t>
      </w:r>
      <w:r w:rsidRPr="00DB3C91">
        <w:rPr>
          <w:rFonts w:ascii="Times New Roman" w:hAnsi="Times New Roman" w:cs="Times New Roman"/>
          <w:noProof/>
          <w:sz w:val="24"/>
          <w:szCs w:val="24"/>
        </w:rPr>
        <w:t xml:space="preserve"> miliardë lekë, ndërsa garancitë e dhëna në favor të kre</w:t>
      </w:r>
      <w:r w:rsidR="00BE6BE6">
        <w:rPr>
          <w:rFonts w:ascii="Times New Roman" w:hAnsi="Times New Roman" w:cs="Times New Roman"/>
          <w:noProof/>
          <w:sz w:val="24"/>
          <w:szCs w:val="24"/>
        </w:rPr>
        <w:t>ditorëve të huaj përfaqësojnë 61.9</w:t>
      </w:r>
      <w:r w:rsidRPr="00DB3C91">
        <w:rPr>
          <w:rFonts w:ascii="Times New Roman" w:hAnsi="Times New Roman" w:cs="Times New Roman"/>
          <w:noProof/>
          <w:sz w:val="24"/>
          <w:szCs w:val="24"/>
        </w:rPr>
        <w:t xml:space="preserve">% të stokut </w:t>
      </w:r>
      <w:r w:rsidR="009E7A70">
        <w:rPr>
          <w:rFonts w:ascii="Times New Roman" w:hAnsi="Times New Roman" w:cs="Times New Roman"/>
          <w:noProof/>
          <w:sz w:val="24"/>
          <w:szCs w:val="24"/>
        </w:rPr>
        <w:t>të borxhit të garantuar ose 32.3</w:t>
      </w:r>
      <w:r w:rsidRPr="00DB3C91">
        <w:rPr>
          <w:rFonts w:ascii="Times New Roman" w:hAnsi="Times New Roman" w:cs="Times New Roman"/>
          <w:noProof/>
          <w:sz w:val="24"/>
          <w:szCs w:val="24"/>
        </w:rPr>
        <w:t xml:space="preserve"> miliardë lekë. Në stokun e garancive përfshihen dhe </w:t>
      </w:r>
      <w:r w:rsidR="00D104B2">
        <w:rPr>
          <w:rFonts w:ascii="Times New Roman" w:hAnsi="Times New Roman" w:cs="Times New Roman"/>
          <w:noProof/>
          <w:sz w:val="24"/>
          <w:szCs w:val="24"/>
        </w:rPr>
        <w:t>dy</w:t>
      </w:r>
      <w:r w:rsidRPr="00DB3C91">
        <w:rPr>
          <w:rFonts w:ascii="Times New Roman" w:hAnsi="Times New Roman" w:cs="Times New Roman"/>
          <w:noProof/>
          <w:sz w:val="24"/>
          <w:szCs w:val="24"/>
        </w:rPr>
        <w:t xml:space="preserve"> garancitë që emetoi qeveria e Republikës së Shqipërisë gjatë muajve prill – maj 2020, në kuadër të menaxhimit të situatës së krijuar nga pandemia COVID-19</w:t>
      </w:r>
      <w:r w:rsidR="00463687">
        <w:rPr>
          <w:rFonts w:ascii="Times New Roman" w:hAnsi="Times New Roman" w:cs="Times New Roman"/>
          <w:noProof/>
          <w:sz w:val="24"/>
          <w:szCs w:val="24"/>
        </w:rPr>
        <w:t xml:space="preserve">, si edhe </w:t>
      </w:r>
      <w:r w:rsidRPr="00DB3C91">
        <w:rPr>
          <w:rFonts w:ascii="Times New Roman" w:hAnsi="Times New Roman" w:cs="Times New Roman"/>
          <w:noProof/>
          <w:sz w:val="24"/>
          <w:szCs w:val="24"/>
        </w:rPr>
        <w:t>garanci</w:t>
      </w:r>
      <w:r w:rsidR="008B48C4">
        <w:rPr>
          <w:rFonts w:ascii="Times New Roman" w:hAnsi="Times New Roman" w:cs="Times New Roman"/>
          <w:noProof/>
          <w:sz w:val="24"/>
          <w:szCs w:val="24"/>
        </w:rPr>
        <w:t>a</w:t>
      </w:r>
      <w:r w:rsidRPr="00DB3C91">
        <w:rPr>
          <w:rFonts w:ascii="Times New Roman" w:hAnsi="Times New Roman" w:cs="Times New Roman"/>
          <w:noProof/>
          <w:sz w:val="24"/>
          <w:szCs w:val="24"/>
        </w:rPr>
        <w:t xml:space="preserve"> shtetërore</w:t>
      </w:r>
      <w:r w:rsidR="008B48C4">
        <w:rPr>
          <w:rFonts w:ascii="Times New Roman" w:hAnsi="Times New Roman" w:cs="Times New Roman"/>
          <w:noProof/>
          <w:sz w:val="24"/>
          <w:szCs w:val="24"/>
        </w:rPr>
        <w:t xml:space="preserve"> e cila u l</w:t>
      </w:r>
      <w:r w:rsidR="009A5C48">
        <w:rPr>
          <w:rFonts w:ascii="Times New Roman" w:hAnsi="Times New Roman" w:cs="Times New Roman"/>
          <w:noProof/>
          <w:sz w:val="24"/>
          <w:szCs w:val="24"/>
        </w:rPr>
        <w:t>ë</w:t>
      </w:r>
      <w:r w:rsidR="008B48C4">
        <w:rPr>
          <w:rFonts w:ascii="Times New Roman" w:hAnsi="Times New Roman" w:cs="Times New Roman"/>
          <w:noProof/>
          <w:sz w:val="24"/>
          <w:szCs w:val="24"/>
        </w:rPr>
        <w:t>shua n</w:t>
      </w:r>
      <w:r w:rsidR="009A5C48">
        <w:rPr>
          <w:rFonts w:ascii="Times New Roman" w:hAnsi="Times New Roman" w:cs="Times New Roman"/>
          <w:noProof/>
          <w:sz w:val="24"/>
          <w:szCs w:val="24"/>
        </w:rPr>
        <w:t>ë</w:t>
      </w:r>
      <w:r w:rsidR="008B48C4">
        <w:rPr>
          <w:rFonts w:ascii="Times New Roman" w:hAnsi="Times New Roman" w:cs="Times New Roman"/>
          <w:noProof/>
          <w:sz w:val="24"/>
          <w:szCs w:val="24"/>
        </w:rPr>
        <w:t xml:space="preserve"> vitin 2022</w:t>
      </w:r>
      <w:r w:rsidRPr="00DB3C91">
        <w:rPr>
          <w:rFonts w:ascii="Times New Roman" w:hAnsi="Times New Roman" w:cs="Times New Roman"/>
          <w:noProof/>
          <w:sz w:val="24"/>
          <w:szCs w:val="24"/>
        </w:rPr>
        <w:t xml:space="preserve">, për të menaxhuar situatën e krijuar nga ndikimi i konfliktit </w:t>
      </w:r>
      <w:r w:rsidR="00E208A0">
        <w:rPr>
          <w:rFonts w:ascii="Times New Roman" w:hAnsi="Times New Roman" w:cs="Times New Roman"/>
          <w:noProof/>
          <w:sz w:val="24"/>
          <w:szCs w:val="24"/>
        </w:rPr>
        <w:t>R</w:t>
      </w:r>
      <w:r w:rsidRPr="00DB3C91">
        <w:rPr>
          <w:rFonts w:ascii="Times New Roman" w:hAnsi="Times New Roman" w:cs="Times New Roman"/>
          <w:noProof/>
          <w:sz w:val="24"/>
          <w:szCs w:val="24"/>
        </w:rPr>
        <w:t>us</w:t>
      </w:r>
      <w:r w:rsidR="00E208A0">
        <w:rPr>
          <w:rFonts w:ascii="Times New Roman" w:hAnsi="Times New Roman" w:cs="Times New Roman"/>
          <w:noProof/>
          <w:sz w:val="24"/>
          <w:szCs w:val="24"/>
        </w:rPr>
        <w:t>i</w:t>
      </w:r>
      <w:r w:rsidRPr="00DB3C91">
        <w:rPr>
          <w:rFonts w:ascii="Times New Roman" w:hAnsi="Times New Roman" w:cs="Times New Roman"/>
          <w:noProof/>
          <w:sz w:val="24"/>
          <w:szCs w:val="24"/>
        </w:rPr>
        <w:t>-</w:t>
      </w:r>
      <w:r w:rsidR="00E208A0">
        <w:rPr>
          <w:rFonts w:ascii="Times New Roman" w:hAnsi="Times New Roman" w:cs="Times New Roman"/>
          <w:noProof/>
          <w:sz w:val="24"/>
          <w:szCs w:val="24"/>
        </w:rPr>
        <w:t>U</w:t>
      </w:r>
      <w:r w:rsidRPr="00DB3C91">
        <w:rPr>
          <w:rFonts w:ascii="Times New Roman" w:hAnsi="Times New Roman" w:cs="Times New Roman"/>
          <w:noProof/>
          <w:sz w:val="24"/>
          <w:szCs w:val="24"/>
        </w:rPr>
        <w:t>krain</w:t>
      </w:r>
      <w:r w:rsidR="00E208A0">
        <w:rPr>
          <w:rFonts w:ascii="Times New Roman" w:hAnsi="Times New Roman" w:cs="Times New Roman"/>
          <w:noProof/>
          <w:sz w:val="24"/>
          <w:szCs w:val="24"/>
        </w:rPr>
        <w:t>ë</w:t>
      </w:r>
      <w:r w:rsidRPr="00DB3C91">
        <w:rPr>
          <w:rFonts w:ascii="Times New Roman" w:hAnsi="Times New Roman" w:cs="Times New Roman"/>
          <w:noProof/>
          <w:sz w:val="24"/>
          <w:szCs w:val="24"/>
        </w:rPr>
        <w:t xml:space="preserve"> në rritjen e çmimeve. </w:t>
      </w:r>
    </w:p>
    <w:p w14:paraId="2F3F9127" w14:textId="77777777" w:rsidR="00DB3C91" w:rsidRPr="00DB3C91" w:rsidRDefault="00DB3C91" w:rsidP="00DB3C91">
      <w:pPr>
        <w:tabs>
          <w:tab w:val="left" w:pos="270"/>
        </w:tabs>
        <w:spacing w:after="0" w:line="276" w:lineRule="auto"/>
        <w:ind w:right="-188"/>
        <w:jc w:val="both"/>
        <w:rPr>
          <w:rFonts w:ascii="Cambria" w:hAnsi="Cambria" w:cs="Times New Roman"/>
          <w:b/>
          <w:noProof/>
          <w:sz w:val="20"/>
          <w:szCs w:val="20"/>
          <w:highlight w:val="yellow"/>
        </w:rPr>
      </w:pPr>
    </w:p>
    <w:p w14:paraId="70C5C2CA" w14:textId="14270962" w:rsidR="00AA203D" w:rsidRDefault="00AA203D" w:rsidP="00B92540">
      <w:pPr>
        <w:tabs>
          <w:tab w:val="left" w:pos="270"/>
        </w:tabs>
        <w:spacing w:after="0" w:line="276" w:lineRule="auto"/>
        <w:ind w:right="-188"/>
        <w:jc w:val="center"/>
        <w:rPr>
          <w:rFonts w:ascii="Times New Roman" w:hAnsi="Times New Roman" w:cs="Times New Roman"/>
          <w:i/>
          <w:noProof/>
          <w:sz w:val="20"/>
          <w:szCs w:val="20"/>
        </w:rPr>
      </w:pPr>
      <w:r w:rsidRPr="00B456F4">
        <w:rPr>
          <w:rFonts w:ascii="Cambria" w:hAnsi="Cambria" w:cs="Times New Roman"/>
          <w:b/>
          <w:noProof/>
          <w:sz w:val="20"/>
          <w:szCs w:val="20"/>
        </w:rPr>
        <w:t>Paraqitje Grafike 3 (a):</w:t>
      </w:r>
      <w:r w:rsidRPr="00B456F4">
        <w:rPr>
          <w:rFonts w:ascii="Cambria" w:hAnsi="Cambria" w:cs="Times New Roman"/>
          <w:noProof/>
          <w:sz w:val="20"/>
          <w:szCs w:val="20"/>
        </w:rPr>
        <w:t xml:space="preserve"> </w:t>
      </w:r>
      <w:r w:rsidRPr="00B456F4">
        <w:rPr>
          <w:rFonts w:ascii="Cambria" w:hAnsi="Cambria" w:cs="Times New Roman"/>
          <w:i/>
          <w:noProof/>
          <w:sz w:val="20"/>
          <w:szCs w:val="20"/>
        </w:rPr>
        <w:t>Portofoli i borxhit t</w:t>
      </w:r>
      <w:r w:rsidR="00A70F29" w:rsidRPr="00B456F4">
        <w:rPr>
          <w:rFonts w:ascii="Cambria" w:hAnsi="Cambria" w:cs="Times New Roman"/>
          <w:i/>
          <w:noProof/>
          <w:sz w:val="20"/>
          <w:szCs w:val="20"/>
        </w:rPr>
        <w:t>ë</w:t>
      </w:r>
      <w:r w:rsidRPr="00B456F4">
        <w:rPr>
          <w:rFonts w:ascii="Cambria" w:hAnsi="Cambria" w:cs="Times New Roman"/>
          <w:i/>
          <w:noProof/>
          <w:sz w:val="20"/>
          <w:szCs w:val="20"/>
        </w:rPr>
        <w:t xml:space="preserve"> garantuar sipas rezidenc</w:t>
      </w:r>
      <w:r w:rsidR="00A70F29" w:rsidRPr="00B456F4">
        <w:rPr>
          <w:rFonts w:ascii="Cambria" w:hAnsi="Cambria" w:cs="Times New Roman"/>
          <w:i/>
          <w:noProof/>
          <w:sz w:val="20"/>
          <w:szCs w:val="20"/>
        </w:rPr>
        <w:t>ë</w:t>
      </w:r>
      <w:r w:rsidRPr="00B456F4">
        <w:rPr>
          <w:rFonts w:ascii="Cambria" w:hAnsi="Cambria" w:cs="Times New Roman"/>
          <w:i/>
          <w:noProof/>
          <w:sz w:val="20"/>
          <w:szCs w:val="20"/>
        </w:rPr>
        <w:t>s s</w:t>
      </w:r>
      <w:r w:rsidR="00A70F29" w:rsidRPr="00B456F4">
        <w:rPr>
          <w:rFonts w:ascii="Cambria" w:hAnsi="Cambria" w:cs="Times New Roman"/>
          <w:i/>
          <w:noProof/>
          <w:sz w:val="20"/>
          <w:szCs w:val="20"/>
        </w:rPr>
        <w:t>ë</w:t>
      </w:r>
      <w:r w:rsidR="00463687">
        <w:rPr>
          <w:rFonts w:ascii="Cambria" w:hAnsi="Cambria" w:cs="Times New Roman"/>
          <w:i/>
          <w:noProof/>
          <w:sz w:val="20"/>
          <w:szCs w:val="20"/>
        </w:rPr>
        <w:t xml:space="preserve"> kreditorit (2018</w:t>
      </w:r>
      <w:r w:rsidRPr="00B456F4">
        <w:rPr>
          <w:rFonts w:ascii="Cambria" w:hAnsi="Cambria" w:cs="Times New Roman"/>
          <w:i/>
          <w:noProof/>
          <w:sz w:val="20"/>
          <w:szCs w:val="20"/>
        </w:rPr>
        <w:t>–</w:t>
      </w:r>
      <w:r w:rsidR="00263448" w:rsidRPr="00B456F4">
        <w:rPr>
          <w:rFonts w:ascii="Cambria" w:hAnsi="Cambria" w:cs="Times New Roman"/>
          <w:i/>
          <w:noProof/>
          <w:sz w:val="20"/>
          <w:szCs w:val="20"/>
        </w:rPr>
        <w:t>202</w:t>
      </w:r>
      <w:r w:rsidR="0020433D" w:rsidRPr="00B456F4">
        <w:rPr>
          <w:rFonts w:ascii="Cambria" w:hAnsi="Cambria" w:cs="Times New Roman"/>
          <w:i/>
          <w:noProof/>
          <w:sz w:val="20"/>
          <w:szCs w:val="20"/>
        </w:rPr>
        <w:t>2</w:t>
      </w:r>
      <w:r w:rsidRPr="00B456F4">
        <w:rPr>
          <w:rFonts w:ascii="Times New Roman" w:hAnsi="Times New Roman" w:cs="Times New Roman"/>
          <w:i/>
          <w:noProof/>
          <w:sz w:val="20"/>
          <w:szCs w:val="20"/>
        </w:rPr>
        <w:t>)</w:t>
      </w:r>
    </w:p>
    <w:p w14:paraId="6949ECA1" w14:textId="0A476331" w:rsidR="00483210" w:rsidRPr="00B456F4" w:rsidRDefault="00463687" w:rsidP="00B92540">
      <w:pPr>
        <w:tabs>
          <w:tab w:val="left" w:pos="270"/>
        </w:tabs>
        <w:spacing w:after="0" w:line="276" w:lineRule="auto"/>
        <w:ind w:right="-188"/>
        <w:jc w:val="center"/>
        <w:rPr>
          <w:rFonts w:ascii="Times New Roman" w:hAnsi="Times New Roman" w:cs="Times New Roman"/>
          <w:i/>
          <w:noProof/>
          <w:sz w:val="20"/>
          <w:szCs w:val="20"/>
        </w:rPr>
      </w:pPr>
      <w:r w:rsidRPr="00463687">
        <w:rPr>
          <w:rFonts w:ascii="Times New Roman" w:hAnsi="Times New Roman" w:cs="Times New Roman"/>
          <w:i/>
          <w:noProof/>
          <w:sz w:val="20"/>
          <w:szCs w:val="20"/>
          <w:lang w:val="en-US"/>
        </w:rPr>
        <w:drawing>
          <wp:inline distT="0" distB="0" distL="0" distR="0" wp14:anchorId="6FB50199" wp14:editId="40912AC8">
            <wp:extent cx="5829300" cy="2307590"/>
            <wp:effectExtent l="0" t="0" r="0" b="16510"/>
            <wp:docPr id="34" name="Chart 34">
              <a:extLst xmlns:a="http://schemas.openxmlformats.org/drawingml/2006/main">
                <a:ext uri="{FF2B5EF4-FFF2-40B4-BE49-F238E27FC236}">
                  <a16:creationId xmlns:a16="http://schemas.microsoft.com/office/drawing/2014/main" id="{00000000-0008-0000-1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9931B2" w14:textId="13E7330C" w:rsidR="00AA203D" w:rsidRPr="00B456F4" w:rsidRDefault="00483210" w:rsidP="00483210">
      <w:pPr>
        <w:tabs>
          <w:tab w:val="left" w:pos="914"/>
        </w:tabs>
        <w:spacing w:after="0" w:line="276" w:lineRule="auto"/>
        <w:ind w:right="-188"/>
        <w:rPr>
          <w:rFonts w:ascii="Cambria" w:hAnsi="Cambria" w:cs="Times New Roman"/>
          <w:i/>
          <w:noProof/>
          <w:sz w:val="20"/>
          <w:szCs w:val="20"/>
        </w:rPr>
      </w:pPr>
      <w:r>
        <w:rPr>
          <w:rFonts w:ascii="Cambria" w:hAnsi="Cambria" w:cs="Times New Roman"/>
          <w:i/>
          <w:noProof/>
          <w:sz w:val="20"/>
          <w:szCs w:val="20"/>
        </w:rPr>
        <w:t xml:space="preserve">                                                        </w:t>
      </w:r>
      <w:r w:rsidR="00AA203D" w:rsidRPr="00B456F4">
        <w:rPr>
          <w:rFonts w:ascii="Cambria" w:hAnsi="Cambria" w:cs="Times New Roman"/>
          <w:b/>
          <w:noProof/>
          <w:sz w:val="20"/>
          <w:szCs w:val="20"/>
        </w:rPr>
        <w:t xml:space="preserve">Burimi: </w:t>
      </w:r>
      <w:r w:rsidR="00AA203D" w:rsidRPr="00B456F4">
        <w:rPr>
          <w:rFonts w:ascii="Cambria" w:hAnsi="Cambria" w:cs="Times New Roman"/>
          <w:i/>
          <w:noProof/>
          <w:sz w:val="20"/>
          <w:szCs w:val="20"/>
        </w:rPr>
        <w:t>Ministria e Financave dhe Ekonomisë (202</w:t>
      </w:r>
      <w:r w:rsidR="00463687">
        <w:rPr>
          <w:rFonts w:ascii="Cambria" w:hAnsi="Cambria" w:cs="Times New Roman"/>
          <w:i/>
          <w:noProof/>
          <w:sz w:val="20"/>
          <w:szCs w:val="20"/>
        </w:rPr>
        <w:t>3</w:t>
      </w:r>
      <w:r w:rsidR="00AA203D" w:rsidRPr="00B456F4">
        <w:rPr>
          <w:rFonts w:ascii="Cambria" w:hAnsi="Cambria" w:cs="Times New Roman"/>
          <w:i/>
          <w:noProof/>
          <w:sz w:val="20"/>
          <w:szCs w:val="20"/>
        </w:rPr>
        <w:t>)</w:t>
      </w:r>
    </w:p>
    <w:p w14:paraId="0C1446EB" w14:textId="77777777" w:rsidR="00AA203D" w:rsidRPr="00DB3C91" w:rsidRDefault="00AA203D" w:rsidP="00B92540">
      <w:pPr>
        <w:pStyle w:val="ListParagraph"/>
        <w:tabs>
          <w:tab w:val="left" w:pos="914"/>
        </w:tabs>
        <w:spacing w:after="0" w:line="276" w:lineRule="auto"/>
        <w:ind w:right="-188"/>
        <w:rPr>
          <w:rFonts w:ascii="Times New Roman" w:hAnsi="Times New Roman" w:cs="Times New Roman"/>
          <w:i/>
          <w:noProof/>
          <w:sz w:val="20"/>
          <w:szCs w:val="20"/>
        </w:rPr>
      </w:pPr>
    </w:p>
    <w:p w14:paraId="7D41D4B9" w14:textId="14E4DD26" w:rsidR="00DB3C91" w:rsidRPr="00DB3C91" w:rsidRDefault="00DB3C91" w:rsidP="00DB3C91">
      <w:pPr>
        <w:tabs>
          <w:tab w:val="left" w:pos="270"/>
        </w:tabs>
        <w:spacing w:after="0" w:line="276" w:lineRule="auto"/>
        <w:ind w:right="-46"/>
        <w:jc w:val="both"/>
        <w:rPr>
          <w:rFonts w:ascii="Times New Roman" w:hAnsi="Times New Roman" w:cs="Times New Roman"/>
          <w:noProof/>
          <w:sz w:val="24"/>
          <w:szCs w:val="24"/>
        </w:rPr>
      </w:pPr>
      <w:r w:rsidRPr="00DB3C91">
        <w:rPr>
          <w:rFonts w:ascii="Times New Roman" w:hAnsi="Times New Roman" w:cs="Times New Roman"/>
          <w:noProof/>
          <w:sz w:val="24"/>
          <w:szCs w:val="24"/>
        </w:rPr>
        <w:t xml:space="preserve">Më shumë se 70% e totalit të garancive shtetërore i përkasin sektorit të energjisë, duke reflektuar politikat e qeverisë në drejtim të mbështetjes së sektorit të energjisë, sidomos në situatën më të fundit me të cilën </w:t>
      </w:r>
      <w:r w:rsidR="00E208A0" w:rsidRPr="00DB3C91">
        <w:rPr>
          <w:rFonts w:ascii="Times New Roman" w:hAnsi="Times New Roman" w:cs="Times New Roman"/>
          <w:noProof/>
          <w:sz w:val="24"/>
          <w:szCs w:val="24"/>
        </w:rPr>
        <w:t>k</w:t>
      </w:r>
      <w:r w:rsidR="00E208A0">
        <w:rPr>
          <w:rFonts w:ascii="Times New Roman" w:hAnsi="Times New Roman" w:cs="Times New Roman"/>
          <w:noProof/>
          <w:sz w:val="24"/>
          <w:szCs w:val="24"/>
        </w:rPr>
        <w:t>y</w:t>
      </w:r>
      <w:r w:rsidR="00E208A0" w:rsidRPr="00DB3C91">
        <w:rPr>
          <w:rFonts w:ascii="Times New Roman" w:hAnsi="Times New Roman" w:cs="Times New Roman"/>
          <w:noProof/>
          <w:sz w:val="24"/>
          <w:szCs w:val="24"/>
        </w:rPr>
        <w:t xml:space="preserve"> </w:t>
      </w:r>
      <w:r w:rsidRPr="00DB3C91">
        <w:rPr>
          <w:rFonts w:ascii="Times New Roman" w:hAnsi="Times New Roman" w:cs="Times New Roman"/>
          <w:noProof/>
          <w:sz w:val="24"/>
          <w:szCs w:val="24"/>
        </w:rPr>
        <w:t>sektor po përballet.</w:t>
      </w:r>
    </w:p>
    <w:p w14:paraId="7D314528" w14:textId="77777777" w:rsidR="00DD1867" w:rsidRDefault="00DD1867" w:rsidP="00463687">
      <w:pPr>
        <w:spacing w:after="0" w:line="276" w:lineRule="auto"/>
        <w:ind w:right="-188"/>
        <w:rPr>
          <w:rFonts w:ascii="Cambria" w:eastAsia="Calibri" w:hAnsi="Cambria" w:cs="Times New Roman"/>
          <w:b/>
          <w:noProof/>
          <w:sz w:val="20"/>
          <w:szCs w:val="20"/>
        </w:rPr>
      </w:pPr>
    </w:p>
    <w:p w14:paraId="290E030F" w14:textId="1536F121" w:rsidR="00AA203D" w:rsidRDefault="00AA203D" w:rsidP="00B92540">
      <w:pPr>
        <w:spacing w:after="0" w:line="276" w:lineRule="auto"/>
        <w:ind w:right="-188"/>
        <w:jc w:val="center"/>
        <w:rPr>
          <w:rFonts w:ascii="Cambria" w:eastAsia="Calibri" w:hAnsi="Cambria" w:cs="Times New Roman"/>
          <w:i/>
          <w:noProof/>
          <w:sz w:val="20"/>
          <w:szCs w:val="20"/>
        </w:rPr>
      </w:pPr>
      <w:r w:rsidRPr="00B456F4">
        <w:rPr>
          <w:rFonts w:ascii="Cambria" w:eastAsia="Calibri" w:hAnsi="Cambria" w:cs="Times New Roman"/>
          <w:b/>
          <w:noProof/>
          <w:sz w:val="20"/>
          <w:szCs w:val="20"/>
        </w:rPr>
        <w:t>Paraqitje Grafike 3 (b):</w:t>
      </w:r>
      <w:r w:rsidRPr="00B456F4">
        <w:rPr>
          <w:rFonts w:ascii="Cambria" w:eastAsia="Batang" w:hAnsi="Cambria" w:cs="Times New Roman"/>
          <w:b/>
          <w:noProof/>
        </w:rPr>
        <w:t xml:space="preserve"> </w:t>
      </w:r>
      <w:r w:rsidRPr="00B456F4">
        <w:rPr>
          <w:rFonts w:ascii="Cambria" w:eastAsia="Calibri" w:hAnsi="Cambria" w:cs="Times New Roman"/>
          <w:i/>
          <w:noProof/>
          <w:sz w:val="20"/>
          <w:szCs w:val="20"/>
        </w:rPr>
        <w:t>Garancitë shtetërore sipa</w:t>
      </w:r>
      <w:r w:rsidR="00263448" w:rsidRPr="00B456F4">
        <w:rPr>
          <w:rFonts w:ascii="Cambria" w:eastAsia="Calibri" w:hAnsi="Cambria" w:cs="Times New Roman"/>
          <w:i/>
          <w:noProof/>
          <w:sz w:val="20"/>
          <w:szCs w:val="20"/>
        </w:rPr>
        <w:t>s sektorëve ekonomikë (201</w:t>
      </w:r>
      <w:r w:rsidR="00463687">
        <w:rPr>
          <w:rFonts w:ascii="Cambria" w:eastAsia="Calibri" w:hAnsi="Cambria" w:cs="Times New Roman"/>
          <w:i/>
          <w:noProof/>
          <w:sz w:val="20"/>
          <w:szCs w:val="20"/>
        </w:rPr>
        <w:t>8</w:t>
      </w:r>
      <w:r w:rsidRPr="00B456F4">
        <w:rPr>
          <w:rFonts w:ascii="Cambria" w:hAnsi="Cambria" w:cs="Times New Roman"/>
          <w:i/>
          <w:noProof/>
          <w:sz w:val="20"/>
          <w:szCs w:val="20"/>
        </w:rPr>
        <w:t>–</w:t>
      </w:r>
      <w:r w:rsidR="00483210">
        <w:rPr>
          <w:rFonts w:ascii="Cambria" w:hAnsi="Cambria" w:cs="Times New Roman"/>
          <w:i/>
          <w:noProof/>
          <w:sz w:val="20"/>
          <w:szCs w:val="20"/>
        </w:rPr>
        <w:t xml:space="preserve"> </w:t>
      </w:r>
      <w:r w:rsidR="00263448" w:rsidRPr="00B456F4">
        <w:rPr>
          <w:rFonts w:ascii="Cambria" w:eastAsia="Calibri" w:hAnsi="Cambria" w:cs="Times New Roman"/>
          <w:i/>
          <w:noProof/>
          <w:sz w:val="20"/>
          <w:szCs w:val="20"/>
        </w:rPr>
        <w:t>202</w:t>
      </w:r>
      <w:r w:rsidR="00A002E2" w:rsidRPr="00B456F4">
        <w:rPr>
          <w:rFonts w:ascii="Cambria" w:eastAsia="Calibri" w:hAnsi="Cambria" w:cs="Times New Roman"/>
          <w:i/>
          <w:noProof/>
          <w:sz w:val="20"/>
          <w:szCs w:val="20"/>
        </w:rPr>
        <w:t>2</w:t>
      </w:r>
      <w:r w:rsidR="00483210">
        <w:rPr>
          <w:rFonts w:ascii="Cambria" w:eastAsia="Calibri" w:hAnsi="Cambria" w:cs="Times New Roman"/>
          <w:i/>
          <w:noProof/>
          <w:sz w:val="20"/>
          <w:szCs w:val="20"/>
        </w:rPr>
        <w:t>)</w:t>
      </w:r>
    </w:p>
    <w:p w14:paraId="3D74B907" w14:textId="5A68697F" w:rsidR="00483210" w:rsidRPr="00B456F4" w:rsidRDefault="00463687" w:rsidP="00B92540">
      <w:pPr>
        <w:spacing w:after="0" w:line="276" w:lineRule="auto"/>
        <w:ind w:right="-188"/>
        <w:jc w:val="center"/>
        <w:rPr>
          <w:rFonts w:ascii="Cambria" w:eastAsia="Calibri" w:hAnsi="Cambria" w:cs="Times New Roman"/>
          <w:i/>
          <w:noProof/>
          <w:sz w:val="20"/>
          <w:szCs w:val="20"/>
        </w:rPr>
      </w:pPr>
      <w:r w:rsidRPr="00463687">
        <w:rPr>
          <w:rFonts w:ascii="Cambria" w:eastAsia="Calibri" w:hAnsi="Cambria" w:cs="Times New Roman"/>
          <w:i/>
          <w:noProof/>
          <w:sz w:val="20"/>
          <w:szCs w:val="20"/>
          <w:lang w:val="en-US"/>
        </w:rPr>
        <w:drawing>
          <wp:inline distT="0" distB="0" distL="0" distR="0" wp14:anchorId="72A41A4E" wp14:editId="3D7B4914">
            <wp:extent cx="5829300" cy="2412459"/>
            <wp:effectExtent l="0" t="0" r="0" b="6985"/>
            <wp:docPr id="35" name="Chart 35">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A92283" w14:textId="46F11C5F" w:rsidR="00DE2758" w:rsidRPr="0051067F" w:rsidRDefault="00AA203D" w:rsidP="0051067F">
      <w:pPr>
        <w:spacing w:after="0" w:line="276" w:lineRule="auto"/>
        <w:ind w:right="-188"/>
        <w:jc w:val="center"/>
        <w:rPr>
          <w:rFonts w:ascii="Cambria" w:hAnsi="Cambria" w:cs="Times New Roman"/>
          <w:i/>
          <w:noProof/>
          <w:sz w:val="20"/>
          <w:szCs w:val="20"/>
        </w:rPr>
      </w:pPr>
      <w:r w:rsidRPr="00B456F4">
        <w:rPr>
          <w:rFonts w:ascii="Cambria" w:hAnsi="Cambria" w:cs="Times New Roman"/>
          <w:b/>
          <w:noProof/>
          <w:sz w:val="20"/>
          <w:szCs w:val="20"/>
        </w:rPr>
        <w:t xml:space="preserve">Burimi: </w:t>
      </w:r>
      <w:r w:rsidRPr="00B456F4">
        <w:rPr>
          <w:rFonts w:ascii="Cambria" w:hAnsi="Cambria" w:cs="Times New Roman"/>
          <w:i/>
          <w:noProof/>
          <w:sz w:val="20"/>
          <w:szCs w:val="20"/>
        </w:rPr>
        <w:t>Ministria e Financave dhe Ekonomisë (202</w:t>
      </w:r>
      <w:r w:rsidR="00463687">
        <w:rPr>
          <w:rFonts w:ascii="Cambria" w:hAnsi="Cambria" w:cs="Times New Roman"/>
          <w:i/>
          <w:noProof/>
          <w:sz w:val="20"/>
          <w:szCs w:val="20"/>
        </w:rPr>
        <w:t>3</w:t>
      </w:r>
    </w:p>
    <w:p w14:paraId="3D324A15" w14:textId="77777777" w:rsidR="00785F2A" w:rsidRPr="00B456F4" w:rsidRDefault="00B1244A" w:rsidP="00B92540">
      <w:pPr>
        <w:pStyle w:val="Heading1"/>
        <w:numPr>
          <w:ilvl w:val="0"/>
          <w:numId w:val="5"/>
        </w:numPr>
        <w:spacing w:before="0" w:after="240" w:line="276" w:lineRule="auto"/>
        <w:ind w:left="426" w:right="-188" w:hanging="426"/>
        <w:jc w:val="both"/>
        <w:rPr>
          <w:rFonts w:ascii="Cambria" w:hAnsi="Cambria"/>
          <w:sz w:val="24"/>
          <w:szCs w:val="24"/>
        </w:rPr>
      </w:pPr>
      <w:bookmarkStart w:id="8" w:name="_Toc34645064"/>
      <w:r w:rsidRPr="00B456F4">
        <w:rPr>
          <w:rFonts w:ascii="Cambria" w:hAnsi="Cambria"/>
          <w:sz w:val="24"/>
          <w:szCs w:val="24"/>
        </w:rPr>
        <w:lastRenderedPageBreak/>
        <w:t>Huamarrj</w:t>
      </w:r>
      <w:r w:rsidR="003C1892" w:rsidRPr="00B456F4">
        <w:rPr>
          <w:rFonts w:ascii="Cambria" w:hAnsi="Cambria"/>
          <w:sz w:val="24"/>
          <w:szCs w:val="24"/>
        </w:rPr>
        <w:t>a</w:t>
      </w:r>
      <w:bookmarkEnd w:id="8"/>
    </w:p>
    <w:p w14:paraId="18606EA5" w14:textId="4A6475D3" w:rsidR="00B456F4" w:rsidRDefault="00463687" w:rsidP="00BC5BC9">
      <w:pPr>
        <w:pStyle w:val="ListParagraph"/>
        <w:tabs>
          <w:tab w:val="left" w:pos="8789"/>
        </w:tabs>
        <w:spacing w:after="0" w:line="276" w:lineRule="auto"/>
        <w:ind w:left="0" w:right="-46"/>
        <w:jc w:val="both"/>
        <w:rPr>
          <w:rFonts w:ascii="Times New Roman" w:hAnsi="Times New Roman" w:cs="Times New Roman"/>
          <w:noProof/>
          <w:sz w:val="24"/>
          <w:szCs w:val="24"/>
        </w:rPr>
      </w:pPr>
      <w:r w:rsidRPr="00463687">
        <w:rPr>
          <w:rFonts w:ascii="Times New Roman" w:hAnsi="Times New Roman" w:cs="Times New Roman"/>
          <w:noProof/>
          <w:sz w:val="24"/>
          <w:szCs w:val="24"/>
        </w:rPr>
        <w:t>Viti 2022 ka qenë sfidues përsa i përket sigurimit të financimit, sidomos gjatë gjashtë muajve të parë të vitit. Gjatë vitit 2022, huamarrja në terma bruto u realizua në vlerën 386.1 miliard Lekë, nga të cilat 92.7% (ose 357.9 miliard Lekë) u financuan nëpërmjet burimeve të brendshme dhe 7.3% (ose 28.3 miliard Lekë) nëpërmjet burimeve të huaja.</w:t>
      </w:r>
    </w:p>
    <w:p w14:paraId="50124227" w14:textId="77777777" w:rsidR="00463687" w:rsidRDefault="00463687" w:rsidP="00BC5BC9">
      <w:pPr>
        <w:pStyle w:val="ListParagraph"/>
        <w:tabs>
          <w:tab w:val="left" w:pos="8789"/>
        </w:tabs>
        <w:spacing w:after="0" w:line="276" w:lineRule="auto"/>
        <w:ind w:left="0" w:right="-46"/>
        <w:jc w:val="both"/>
        <w:rPr>
          <w:rFonts w:ascii="Times New Roman" w:hAnsi="Times New Roman" w:cs="Times New Roman"/>
          <w:noProof/>
          <w:sz w:val="24"/>
          <w:szCs w:val="24"/>
        </w:rPr>
      </w:pPr>
    </w:p>
    <w:p w14:paraId="4F1CD158" w14:textId="30B1B684" w:rsidR="00463687" w:rsidRPr="00463687" w:rsidRDefault="00463687" w:rsidP="00463687">
      <w:pPr>
        <w:spacing w:after="0"/>
        <w:ind w:right="4"/>
        <w:rPr>
          <w:rFonts w:ascii="Cambria" w:hAnsi="Cambria" w:cs="Times New Roman"/>
          <w:sz w:val="20"/>
          <w:szCs w:val="20"/>
        </w:rPr>
      </w:pPr>
      <w:r w:rsidRPr="00463687">
        <w:rPr>
          <w:rFonts w:ascii="Cambria" w:hAnsi="Cambria" w:cs="Times New Roman"/>
          <w:b/>
          <w:sz w:val="20"/>
          <w:szCs w:val="20"/>
        </w:rPr>
        <w:t>Tabela 4:</w:t>
      </w:r>
      <w:r w:rsidRPr="00463687">
        <w:rPr>
          <w:rFonts w:ascii="Cambria" w:hAnsi="Cambria" w:cs="Times New Roman"/>
          <w:sz w:val="20"/>
          <w:szCs w:val="20"/>
        </w:rPr>
        <w:t xml:space="preserve"> Realizimi i Huamarrjes</w:t>
      </w:r>
      <w:r>
        <w:rPr>
          <w:rFonts w:ascii="Cambria" w:hAnsi="Cambria" w:cs="Times New Roman"/>
          <w:sz w:val="20"/>
          <w:szCs w:val="20"/>
        </w:rPr>
        <w:t xml:space="preserve"> (2021-2022)</w:t>
      </w:r>
    </w:p>
    <w:tbl>
      <w:tblPr>
        <w:tblW w:w="9315" w:type="dxa"/>
        <w:tblLook w:val="04A0" w:firstRow="1" w:lastRow="0" w:firstColumn="1" w:lastColumn="0" w:noHBand="0" w:noVBand="1"/>
      </w:tblPr>
      <w:tblGrid>
        <w:gridCol w:w="3053"/>
        <w:gridCol w:w="1971"/>
        <w:gridCol w:w="1000"/>
        <w:gridCol w:w="2291"/>
        <w:gridCol w:w="1000"/>
      </w:tblGrid>
      <w:tr w:rsidR="00463687" w:rsidRPr="00463687" w14:paraId="651EF64E" w14:textId="77777777" w:rsidTr="0051067F">
        <w:trPr>
          <w:trHeight w:val="239"/>
        </w:trPr>
        <w:tc>
          <w:tcPr>
            <w:tcW w:w="0" w:type="auto"/>
            <w:vMerge w:val="restart"/>
            <w:tcBorders>
              <w:top w:val="single" w:sz="4" w:space="0" w:color="auto"/>
              <w:left w:val="nil"/>
              <w:bottom w:val="single" w:sz="4" w:space="0" w:color="000000"/>
              <w:right w:val="single" w:sz="4" w:space="0" w:color="auto"/>
            </w:tcBorders>
            <w:shd w:val="clear" w:color="000000" w:fill="E1EAF3"/>
            <w:noWrap/>
            <w:vAlign w:val="center"/>
            <w:hideMark/>
          </w:tcPr>
          <w:p w14:paraId="1F9808CB"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Burimet e Huamarrjes</w:t>
            </w:r>
          </w:p>
        </w:tc>
        <w:tc>
          <w:tcPr>
            <w:tcW w:w="0" w:type="auto"/>
            <w:gridSpan w:val="2"/>
            <w:tcBorders>
              <w:top w:val="single" w:sz="4" w:space="0" w:color="auto"/>
              <w:left w:val="nil"/>
              <w:bottom w:val="single" w:sz="4" w:space="0" w:color="auto"/>
              <w:right w:val="single" w:sz="4" w:space="0" w:color="000000"/>
            </w:tcBorders>
            <w:shd w:val="clear" w:color="000000" w:fill="E1EAF3"/>
            <w:noWrap/>
            <w:vAlign w:val="center"/>
            <w:hideMark/>
          </w:tcPr>
          <w:p w14:paraId="269615D6"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2021</w:t>
            </w:r>
          </w:p>
        </w:tc>
        <w:tc>
          <w:tcPr>
            <w:tcW w:w="0" w:type="auto"/>
            <w:gridSpan w:val="2"/>
            <w:tcBorders>
              <w:top w:val="single" w:sz="4" w:space="0" w:color="auto"/>
              <w:left w:val="nil"/>
              <w:bottom w:val="single" w:sz="4" w:space="0" w:color="auto"/>
              <w:right w:val="nil"/>
            </w:tcBorders>
            <w:shd w:val="clear" w:color="000000" w:fill="E1EAF3"/>
            <w:noWrap/>
            <w:vAlign w:val="center"/>
            <w:hideMark/>
          </w:tcPr>
          <w:p w14:paraId="66D06E29"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2022</w:t>
            </w:r>
          </w:p>
        </w:tc>
      </w:tr>
      <w:tr w:rsidR="00463687" w:rsidRPr="00463687" w14:paraId="47AA1241" w14:textId="77777777" w:rsidTr="0051067F">
        <w:trPr>
          <w:trHeight w:val="408"/>
        </w:trPr>
        <w:tc>
          <w:tcPr>
            <w:tcW w:w="0" w:type="auto"/>
            <w:vMerge/>
            <w:tcBorders>
              <w:top w:val="single" w:sz="4" w:space="0" w:color="000000"/>
              <w:left w:val="nil"/>
              <w:bottom w:val="single" w:sz="4" w:space="0" w:color="000000"/>
              <w:right w:val="single" w:sz="4" w:space="0" w:color="auto"/>
            </w:tcBorders>
            <w:vAlign w:val="center"/>
            <w:hideMark/>
          </w:tcPr>
          <w:p w14:paraId="6FDBFF40" w14:textId="77777777" w:rsidR="00463687" w:rsidRPr="00463687" w:rsidRDefault="00463687" w:rsidP="00463687">
            <w:pPr>
              <w:spacing w:after="0" w:line="240" w:lineRule="auto"/>
              <w:ind w:right="4"/>
              <w:rPr>
                <w:rFonts w:ascii="Cambria" w:eastAsia="Times New Roman" w:hAnsi="Cambria" w:cs="Calibri"/>
                <w:b/>
                <w:bCs/>
                <w:sz w:val="20"/>
                <w:szCs w:val="20"/>
              </w:rPr>
            </w:pPr>
          </w:p>
        </w:tc>
        <w:tc>
          <w:tcPr>
            <w:tcW w:w="0" w:type="auto"/>
            <w:tcBorders>
              <w:top w:val="nil"/>
              <w:left w:val="nil"/>
              <w:bottom w:val="single" w:sz="4" w:space="0" w:color="auto"/>
              <w:right w:val="single" w:sz="4" w:space="0" w:color="auto"/>
            </w:tcBorders>
            <w:shd w:val="clear" w:color="000000" w:fill="E1EAF3"/>
            <w:vAlign w:val="center"/>
            <w:hideMark/>
          </w:tcPr>
          <w:p w14:paraId="65DC302F"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 xml:space="preserve">Vlera                                          </w:t>
            </w:r>
            <w:r w:rsidRPr="00463687">
              <w:rPr>
                <w:rFonts w:ascii="Cambria" w:eastAsia="Times New Roman" w:hAnsi="Cambria" w:cs="Calibri"/>
                <w:i/>
                <w:iCs/>
                <w:sz w:val="20"/>
                <w:szCs w:val="20"/>
              </w:rPr>
              <w:t>(në mld Lekë)</w:t>
            </w:r>
          </w:p>
        </w:tc>
        <w:tc>
          <w:tcPr>
            <w:tcW w:w="0" w:type="auto"/>
            <w:tcBorders>
              <w:top w:val="nil"/>
              <w:left w:val="nil"/>
              <w:bottom w:val="single" w:sz="4" w:space="0" w:color="auto"/>
              <w:right w:val="single" w:sz="4" w:space="0" w:color="auto"/>
            </w:tcBorders>
            <w:shd w:val="clear" w:color="000000" w:fill="E1EAF3"/>
            <w:noWrap/>
            <w:vAlign w:val="center"/>
            <w:hideMark/>
          </w:tcPr>
          <w:p w14:paraId="4B3177AE"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%/Total</w:t>
            </w:r>
          </w:p>
        </w:tc>
        <w:tc>
          <w:tcPr>
            <w:tcW w:w="0" w:type="auto"/>
            <w:tcBorders>
              <w:top w:val="nil"/>
              <w:left w:val="nil"/>
              <w:bottom w:val="single" w:sz="4" w:space="0" w:color="auto"/>
              <w:right w:val="single" w:sz="4" w:space="0" w:color="auto"/>
            </w:tcBorders>
            <w:shd w:val="clear" w:color="000000" w:fill="E1EAF3"/>
            <w:vAlign w:val="center"/>
            <w:hideMark/>
          </w:tcPr>
          <w:p w14:paraId="43C92AAC"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 xml:space="preserve">Vlera                                          </w:t>
            </w:r>
            <w:r w:rsidRPr="00463687">
              <w:rPr>
                <w:rFonts w:ascii="Cambria" w:eastAsia="Times New Roman" w:hAnsi="Cambria" w:cs="Calibri"/>
                <w:i/>
                <w:iCs/>
                <w:sz w:val="20"/>
                <w:szCs w:val="20"/>
              </w:rPr>
              <w:t>(në mld Lekë)</w:t>
            </w:r>
          </w:p>
        </w:tc>
        <w:tc>
          <w:tcPr>
            <w:tcW w:w="0" w:type="auto"/>
            <w:tcBorders>
              <w:top w:val="nil"/>
              <w:left w:val="nil"/>
              <w:bottom w:val="single" w:sz="4" w:space="0" w:color="auto"/>
              <w:right w:val="single" w:sz="8" w:space="0" w:color="FFFFFF"/>
            </w:tcBorders>
            <w:shd w:val="clear" w:color="000000" w:fill="E1EAF3"/>
            <w:noWrap/>
            <w:vAlign w:val="center"/>
            <w:hideMark/>
          </w:tcPr>
          <w:p w14:paraId="1776E7DF"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%/Total</w:t>
            </w:r>
          </w:p>
        </w:tc>
      </w:tr>
      <w:tr w:rsidR="00463687" w:rsidRPr="00463687" w14:paraId="1D905787" w14:textId="77777777" w:rsidTr="0051067F">
        <w:trPr>
          <w:trHeight w:val="239"/>
        </w:trPr>
        <w:tc>
          <w:tcPr>
            <w:tcW w:w="0" w:type="auto"/>
            <w:tcBorders>
              <w:top w:val="nil"/>
              <w:left w:val="nil"/>
              <w:bottom w:val="nil"/>
              <w:right w:val="nil"/>
            </w:tcBorders>
            <w:shd w:val="clear" w:color="000000" w:fill="FFFFFF"/>
            <w:noWrap/>
            <w:vAlign w:val="center"/>
            <w:hideMark/>
          </w:tcPr>
          <w:p w14:paraId="628B22F3" w14:textId="77777777" w:rsidR="00463687" w:rsidRPr="00463687" w:rsidRDefault="00463687" w:rsidP="00463687">
            <w:pPr>
              <w:spacing w:after="0" w:line="240" w:lineRule="auto"/>
              <w:ind w:right="4"/>
              <w:rPr>
                <w:rFonts w:ascii="Cambria" w:eastAsia="Times New Roman" w:hAnsi="Cambria" w:cs="Calibri"/>
                <w:b/>
                <w:bCs/>
                <w:color w:val="000000"/>
                <w:sz w:val="20"/>
                <w:szCs w:val="20"/>
              </w:rPr>
            </w:pPr>
            <w:r w:rsidRPr="00463687">
              <w:rPr>
                <w:rFonts w:ascii="Cambria" w:eastAsia="Times New Roman" w:hAnsi="Cambria" w:cs="Calibri"/>
                <w:b/>
                <w:bCs/>
                <w:color w:val="000000"/>
                <w:sz w:val="20"/>
                <w:szCs w:val="20"/>
              </w:rPr>
              <w:t>Burime të Brendshme</w:t>
            </w:r>
          </w:p>
        </w:tc>
        <w:tc>
          <w:tcPr>
            <w:tcW w:w="0" w:type="auto"/>
            <w:tcBorders>
              <w:top w:val="nil"/>
              <w:left w:val="nil"/>
              <w:bottom w:val="nil"/>
              <w:right w:val="nil"/>
            </w:tcBorders>
            <w:shd w:val="clear" w:color="000000" w:fill="FFFFFF"/>
            <w:noWrap/>
            <w:vAlign w:val="center"/>
            <w:hideMark/>
          </w:tcPr>
          <w:p w14:paraId="0EC8AE3B"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345.1</w:t>
            </w:r>
          </w:p>
        </w:tc>
        <w:tc>
          <w:tcPr>
            <w:tcW w:w="0" w:type="auto"/>
            <w:tcBorders>
              <w:top w:val="nil"/>
              <w:left w:val="nil"/>
              <w:bottom w:val="nil"/>
              <w:right w:val="nil"/>
            </w:tcBorders>
            <w:shd w:val="clear" w:color="000000" w:fill="FFFFFF"/>
            <w:noWrap/>
            <w:vAlign w:val="bottom"/>
            <w:hideMark/>
          </w:tcPr>
          <w:p w14:paraId="43D0BAC4" w14:textId="77777777" w:rsidR="00463687" w:rsidRPr="00463687" w:rsidRDefault="00463687" w:rsidP="00463687">
            <w:pPr>
              <w:spacing w:after="0" w:line="240" w:lineRule="auto"/>
              <w:ind w:right="4"/>
              <w:jc w:val="right"/>
              <w:rPr>
                <w:rFonts w:ascii="Cambria" w:eastAsia="Times New Roman" w:hAnsi="Cambria" w:cs="Calibri"/>
                <w:b/>
                <w:bCs/>
                <w:color w:val="000000"/>
                <w:sz w:val="20"/>
                <w:szCs w:val="20"/>
              </w:rPr>
            </w:pPr>
            <w:r w:rsidRPr="00463687">
              <w:rPr>
                <w:rFonts w:ascii="Cambria" w:eastAsia="Times New Roman" w:hAnsi="Cambria" w:cs="Calibri"/>
                <w:b/>
                <w:bCs/>
                <w:color w:val="000000"/>
                <w:sz w:val="20"/>
                <w:szCs w:val="20"/>
              </w:rPr>
              <w:t>71.7%</w:t>
            </w:r>
          </w:p>
        </w:tc>
        <w:tc>
          <w:tcPr>
            <w:tcW w:w="0" w:type="auto"/>
            <w:tcBorders>
              <w:top w:val="nil"/>
              <w:left w:val="nil"/>
              <w:bottom w:val="nil"/>
              <w:right w:val="nil"/>
            </w:tcBorders>
            <w:shd w:val="clear" w:color="000000" w:fill="FFFFFF"/>
            <w:noWrap/>
            <w:vAlign w:val="center"/>
            <w:hideMark/>
          </w:tcPr>
          <w:p w14:paraId="3999C6EC" w14:textId="77777777" w:rsidR="00463687" w:rsidRPr="00463687" w:rsidRDefault="00463687" w:rsidP="00463687">
            <w:pPr>
              <w:spacing w:after="0" w:line="240" w:lineRule="auto"/>
              <w:ind w:right="4"/>
              <w:jc w:val="center"/>
              <w:rPr>
                <w:rFonts w:ascii="Cambria" w:eastAsia="Times New Roman" w:hAnsi="Cambria" w:cs="Calibri"/>
                <w:b/>
                <w:bCs/>
                <w:sz w:val="20"/>
                <w:szCs w:val="20"/>
              </w:rPr>
            </w:pPr>
            <w:r w:rsidRPr="00463687">
              <w:rPr>
                <w:rFonts w:ascii="Cambria" w:eastAsia="Times New Roman" w:hAnsi="Cambria" w:cs="Calibri"/>
                <w:b/>
                <w:bCs/>
                <w:sz w:val="20"/>
                <w:szCs w:val="20"/>
              </w:rPr>
              <w:t xml:space="preserve">        357.9</w:t>
            </w:r>
          </w:p>
        </w:tc>
        <w:tc>
          <w:tcPr>
            <w:tcW w:w="0" w:type="auto"/>
            <w:tcBorders>
              <w:top w:val="nil"/>
              <w:left w:val="nil"/>
              <w:bottom w:val="nil"/>
              <w:right w:val="nil"/>
            </w:tcBorders>
            <w:shd w:val="clear" w:color="000000" w:fill="FFFFFF"/>
            <w:noWrap/>
            <w:vAlign w:val="bottom"/>
            <w:hideMark/>
          </w:tcPr>
          <w:p w14:paraId="5B711DC8" w14:textId="77777777" w:rsidR="00463687" w:rsidRPr="00463687" w:rsidRDefault="00463687" w:rsidP="00463687">
            <w:pPr>
              <w:spacing w:after="0" w:line="240" w:lineRule="auto"/>
              <w:ind w:right="4"/>
              <w:jc w:val="right"/>
              <w:rPr>
                <w:rFonts w:ascii="Cambria" w:eastAsia="Times New Roman" w:hAnsi="Cambria" w:cs="Calibri"/>
                <w:b/>
                <w:bCs/>
                <w:color w:val="000000"/>
                <w:sz w:val="20"/>
                <w:szCs w:val="20"/>
              </w:rPr>
            </w:pPr>
            <w:r w:rsidRPr="00463687">
              <w:rPr>
                <w:rFonts w:ascii="Cambria" w:eastAsia="Times New Roman" w:hAnsi="Cambria" w:cs="Calibri"/>
                <w:b/>
                <w:bCs/>
                <w:color w:val="000000"/>
                <w:sz w:val="20"/>
                <w:szCs w:val="20"/>
              </w:rPr>
              <w:t>92.7%</w:t>
            </w:r>
          </w:p>
        </w:tc>
      </w:tr>
      <w:tr w:rsidR="00463687" w:rsidRPr="00463687" w14:paraId="1AF25F77" w14:textId="77777777" w:rsidTr="0051067F">
        <w:trPr>
          <w:trHeight w:val="239"/>
        </w:trPr>
        <w:tc>
          <w:tcPr>
            <w:tcW w:w="0" w:type="auto"/>
            <w:tcBorders>
              <w:top w:val="nil"/>
              <w:left w:val="nil"/>
              <w:bottom w:val="nil"/>
              <w:right w:val="nil"/>
            </w:tcBorders>
            <w:shd w:val="clear" w:color="000000" w:fill="FFFFFF"/>
            <w:noWrap/>
            <w:vAlign w:val="center"/>
            <w:hideMark/>
          </w:tcPr>
          <w:p w14:paraId="457A8FAA"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Bono Thesari</w:t>
            </w:r>
          </w:p>
        </w:tc>
        <w:tc>
          <w:tcPr>
            <w:tcW w:w="0" w:type="auto"/>
            <w:tcBorders>
              <w:top w:val="nil"/>
              <w:left w:val="nil"/>
              <w:bottom w:val="nil"/>
              <w:right w:val="nil"/>
            </w:tcBorders>
            <w:shd w:val="clear" w:color="000000" w:fill="FFFFFF"/>
            <w:noWrap/>
            <w:vAlign w:val="center"/>
            <w:hideMark/>
          </w:tcPr>
          <w:p w14:paraId="09E63A63" w14:textId="77777777" w:rsidR="00463687" w:rsidRPr="00463687" w:rsidRDefault="00463687" w:rsidP="00463687">
            <w:pPr>
              <w:spacing w:after="0" w:line="240" w:lineRule="auto"/>
              <w:ind w:right="4"/>
              <w:jc w:val="center"/>
              <w:rPr>
                <w:rFonts w:ascii="Cambria" w:eastAsia="Times New Roman" w:hAnsi="Cambria" w:cs="Calibri"/>
                <w:sz w:val="20"/>
                <w:szCs w:val="20"/>
              </w:rPr>
            </w:pPr>
            <w:r w:rsidRPr="00463687">
              <w:rPr>
                <w:rFonts w:ascii="Cambria" w:eastAsia="Times New Roman" w:hAnsi="Cambria" w:cs="Calibri"/>
                <w:sz w:val="20"/>
                <w:szCs w:val="20"/>
              </w:rPr>
              <w:t>215.8</w:t>
            </w:r>
          </w:p>
        </w:tc>
        <w:tc>
          <w:tcPr>
            <w:tcW w:w="0" w:type="auto"/>
            <w:tcBorders>
              <w:top w:val="nil"/>
              <w:left w:val="nil"/>
              <w:bottom w:val="nil"/>
              <w:right w:val="nil"/>
            </w:tcBorders>
            <w:shd w:val="clear" w:color="000000" w:fill="FFFFFF"/>
            <w:noWrap/>
            <w:vAlign w:val="bottom"/>
            <w:hideMark/>
          </w:tcPr>
          <w:p w14:paraId="605AA255" w14:textId="77777777" w:rsidR="00463687" w:rsidRPr="00463687" w:rsidRDefault="00463687" w:rsidP="00463687">
            <w:pPr>
              <w:spacing w:after="0" w:line="240" w:lineRule="auto"/>
              <w:ind w:right="4"/>
              <w:jc w:val="right"/>
              <w:rPr>
                <w:rFonts w:ascii="Cambria" w:eastAsia="Times New Roman" w:hAnsi="Cambria" w:cs="Calibri"/>
                <w:color w:val="000000"/>
                <w:sz w:val="20"/>
                <w:szCs w:val="20"/>
              </w:rPr>
            </w:pPr>
            <w:r w:rsidRPr="00463687">
              <w:rPr>
                <w:rFonts w:ascii="Cambria" w:eastAsia="Times New Roman" w:hAnsi="Cambria" w:cs="Calibri"/>
                <w:color w:val="000000"/>
                <w:sz w:val="20"/>
                <w:szCs w:val="20"/>
              </w:rPr>
              <w:t>44.9%</w:t>
            </w:r>
          </w:p>
        </w:tc>
        <w:tc>
          <w:tcPr>
            <w:tcW w:w="0" w:type="auto"/>
            <w:tcBorders>
              <w:top w:val="nil"/>
              <w:left w:val="nil"/>
              <w:bottom w:val="nil"/>
              <w:right w:val="nil"/>
            </w:tcBorders>
            <w:shd w:val="clear" w:color="000000" w:fill="FFFFFF"/>
            <w:noWrap/>
            <w:vAlign w:val="center"/>
            <w:hideMark/>
          </w:tcPr>
          <w:p w14:paraId="101283D4" w14:textId="77777777" w:rsidR="00463687" w:rsidRPr="00463687" w:rsidRDefault="00463687" w:rsidP="00463687">
            <w:pPr>
              <w:spacing w:after="0" w:line="240" w:lineRule="auto"/>
              <w:ind w:right="4"/>
              <w:jc w:val="center"/>
              <w:rPr>
                <w:rFonts w:ascii="Cambria" w:eastAsia="Times New Roman" w:hAnsi="Cambria" w:cs="Calibri"/>
                <w:sz w:val="20"/>
                <w:szCs w:val="20"/>
              </w:rPr>
            </w:pPr>
            <w:r w:rsidRPr="00463687">
              <w:rPr>
                <w:rFonts w:ascii="Cambria" w:eastAsia="Times New Roman" w:hAnsi="Cambria" w:cs="Calibri"/>
                <w:sz w:val="20"/>
                <w:szCs w:val="20"/>
              </w:rPr>
              <w:t xml:space="preserve">         245.5</w:t>
            </w:r>
          </w:p>
        </w:tc>
        <w:tc>
          <w:tcPr>
            <w:tcW w:w="0" w:type="auto"/>
            <w:tcBorders>
              <w:top w:val="nil"/>
              <w:left w:val="nil"/>
              <w:bottom w:val="nil"/>
              <w:right w:val="nil"/>
            </w:tcBorders>
            <w:shd w:val="clear" w:color="000000" w:fill="FFFFFF"/>
            <w:noWrap/>
            <w:vAlign w:val="bottom"/>
            <w:hideMark/>
          </w:tcPr>
          <w:p w14:paraId="3158138A" w14:textId="77777777" w:rsidR="00463687" w:rsidRPr="00463687" w:rsidRDefault="00463687" w:rsidP="00463687">
            <w:pPr>
              <w:spacing w:after="0" w:line="240" w:lineRule="auto"/>
              <w:ind w:right="4"/>
              <w:jc w:val="right"/>
              <w:rPr>
                <w:rFonts w:ascii="Cambria" w:eastAsia="Times New Roman" w:hAnsi="Cambria" w:cs="Calibri"/>
                <w:color w:val="000000"/>
                <w:sz w:val="20"/>
                <w:szCs w:val="20"/>
              </w:rPr>
            </w:pPr>
            <w:r w:rsidRPr="00463687">
              <w:rPr>
                <w:rFonts w:ascii="Cambria" w:eastAsia="Times New Roman" w:hAnsi="Cambria" w:cs="Calibri"/>
                <w:color w:val="000000"/>
                <w:sz w:val="20"/>
                <w:szCs w:val="20"/>
              </w:rPr>
              <w:t>63.6%</w:t>
            </w:r>
          </w:p>
        </w:tc>
      </w:tr>
      <w:tr w:rsidR="00463687" w:rsidRPr="00463687" w14:paraId="4386387C" w14:textId="77777777" w:rsidTr="0051067F">
        <w:trPr>
          <w:trHeight w:val="239"/>
        </w:trPr>
        <w:tc>
          <w:tcPr>
            <w:tcW w:w="0" w:type="auto"/>
            <w:tcBorders>
              <w:top w:val="nil"/>
              <w:left w:val="nil"/>
              <w:bottom w:val="single" w:sz="4" w:space="0" w:color="auto"/>
              <w:right w:val="nil"/>
            </w:tcBorders>
            <w:shd w:val="clear" w:color="000000" w:fill="FFFFFF"/>
            <w:noWrap/>
            <w:vAlign w:val="center"/>
            <w:hideMark/>
          </w:tcPr>
          <w:p w14:paraId="5F4512E6"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Obligacione</w:t>
            </w:r>
          </w:p>
        </w:tc>
        <w:tc>
          <w:tcPr>
            <w:tcW w:w="0" w:type="auto"/>
            <w:tcBorders>
              <w:top w:val="nil"/>
              <w:left w:val="nil"/>
              <w:bottom w:val="single" w:sz="4" w:space="0" w:color="auto"/>
              <w:right w:val="nil"/>
            </w:tcBorders>
            <w:shd w:val="clear" w:color="000000" w:fill="FFFFFF"/>
            <w:noWrap/>
            <w:vAlign w:val="center"/>
            <w:hideMark/>
          </w:tcPr>
          <w:p w14:paraId="77F2E402" w14:textId="77777777" w:rsidR="00463687" w:rsidRPr="00463687" w:rsidRDefault="00463687" w:rsidP="00463687">
            <w:pPr>
              <w:spacing w:after="0" w:line="240" w:lineRule="auto"/>
              <w:ind w:right="4"/>
              <w:jc w:val="center"/>
              <w:rPr>
                <w:rFonts w:ascii="Cambria" w:eastAsia="Times New Roman" w:hAnsi="Cambria" w:cs="Calibri"/>
                <w:sz w:val="20"/>
                <w:szCs w:val="20"/>
              </w:rPr>
            </w:pPr>
            <w:r w:rsidRPr="00463687">
              <w:rPr>
                <w:rFonts w:ascii="Cambria" w:eastAsia="Times New Roman" w:hAnsi="Cambria" w:cs="Calibri"/>
                <w:sz w:val="20"/>
                <w:szCs w:val="20"/>
              </w:rPr>
              <w:t>129.3</w:t>
            </w:r>
          </w:p>
        </w:tc>
        <w:tc>
          <w:tcPr>
            <w:tcW w:w="0" w:type="auto"/>
            <w:tcBorders>
              <w:top w:val="nil"/>
              <w:left w:val="nil"/>
              <w:bottom w:val="single" w:sz="4" w:space="0" w:color="auto"/>
              <w:right w:val="nil"/>
            </w:tcBorders>
            <w:shd w:val="clear" w:color="000000" w:fill="FFFFFF"/>
            <w:noWrap/>
            <w:vAlign w:val="center"/>
            <w:hideMark/>
          </w:tcPr>
          <w:p w14:paraId="3C22147E" w14:textId="77777777" w:rsidR="00463687" w:rsidRPr="00463687" w:rsidRDefault="00463687" w:rsidP="00463687">
            <w:pPr>
              <w:spacing w:after="0" w:line="240" w:lineRule="auto"/>
              <w:ind w:right="4"/>
              <w:jc w:val="right"/>
              <w:rPr>
                <w:rFonts w:ascii="Cambria" w:eastAsia="Times New Roman" w:hAnsi="Cambria" w:cs="Calibri"/>
                <w:color w:val="000000"/>
                <w:sz w:val="20"/>
                <w:szCs w:val="20"/>
              </w:rPr>
            </w:pPr>
            <w:r w:rsidRPr="00463687">
              <w:rPr>
                <w:rFonts w:ascii="Cambria" w:eastAsia="Times New Roman" w:hAnsi="Cambria" w:cs="Calibri"/>
                <w:color w:val="000000"/>
                <w:sz w:val="20"/>
                <w:szCs w:val="20"/>
              </w:rPr>
              <w:t>26.9%</w:t>
            </w:r>
          </w:p>
        </w:tc>
        <w:tc>
          <w:tcPr>
            <w:tcW w:w="0" w:type="auto"/>
            <w:tcBorders>
              <w:top w:val="nil"/>
              <w:left w:val="nil"/>
              <w:bottom w:val="single" w:sz="4" w:space="0" w:color="auto"/>
              <w:right w:val="nil"/>
            </w:tcBorders>
            <w:shd w:val="clear" w:color="000000" w:fill="FFFFFF"/>
            <w:noWrap/>
            <w:vAlign w:val="center"/>
            <w:hideMark/>
          </w:tcPr>
          <w:p w14:paraId="0278F1AE" w14:textId="77777777" w:rsidR="00463687" w:rsidRPr="00463687" w:rsidRDefault="00463687" w:rsidP="00463687">
            <w:pPr>
              <w:spacing w:after="0" w:line="240" w:lineRule="auto"/>
              <w:ind w:right="4"/>
              <w:jc w:val="center"/>
              <w:rPr>
                <w:rFonts w:ascii="Cambria" w:eastAsia="Times New Roman" w:hAnsi="Cambria" w:cs="Calibri"/>
                <w:sz w:val="20"/>
                <w:szCs w:val="20"/>
              </w:rPr>
            </w:pPr>
            <w:r w:rsidRPr="00463687">
              <w:rPr>
                <w:rFonts w:ascii="Cambria" w:eastAsia="Times New Roman" w:hAnsi="Cambria" w:cs="Calibri"/>
                <w:sz w:val="20"/>
                <w:szCs w:val="20"/>
              </w:rPr>
              <w:t xml:space="preserve">          112.3</w:t>
            </w:r>
          </w:p>
        </w:tc>
        <w:tc>
          <w:tcPr>
            <w:tcW w:w="0" w:type="auto"/>
            <w:tcBorders>
              <w:top w:val="nil"/>
              <w:left w:val="nil"/>
              <w:bottom w:val="single" w:sz="4" w:space="0" w:color="auto"/>
              <w:right w:val="nil"/>
            </w:tcBorders>
            <w:shd w:val="clear" w:color="000000" w:fill="FFFFFF"/>
            <w:noWrap/>
            <w:vAlign w:val="center"/>
            <w:hideMark/>
          </w:tcPr>
          <w:p w14:paraId="74DC53C2" w14:textId="77777777" w:rsidR="00463687" w:rsidRPr="00463687" w:rsidRDefault="00463687" w:rsidP="00463687">
            <w:pPr>
              <w:spacing w:after="0" w:line="240" w:lineRule="auto"/>
              <w:ind w:right="4"/>
              <w:jc w:val="right"/>
              <w:rPr>
                <w:rFonts w:ascii="Cambria" w:eastAsia="Times New Roman" w:hAnsi="Cambria" w:cs="Calibri"/>
                <w:color w:val="000000"/>
                <w:sz w:val="20"/>
                <w:szCs w:val="20"/>
              </w:rPr>
            </w:pPr>
            <w:r w:rsidRPr="00463687">
              <w:rPr>
                <w:rFonts w:ascii="Cambria" w:eastAsia="Times New Roman" w:hAnsi="Cambria" w:cs="Calibri"/>
                <w:color w:val="000000"/>
                <w:sz w:val="20"/>
                <w:szCs w:val="20"/>
              </w:rPr>
              <w:t>29.1%</w:t>
            </w:r>
          </w:p>
        </w:tc>
      </w:tr>
      <w:tr w:rsidR="00463687" w:rsidRPr="00463687" w14:paraId="15401043" w14:textId="77777777" w:rsidTr="0051067F">
        <w:trPr>
          <w:trHeight w:val="239"/>
        </w:trPr>
        <w:tc>
          <w:tcPr>
            <w:tcW w:w="0" w:type="auto"/>
            <w:tcBorders>
              <w:top w:val="nil"/>
              <w:left w:val="nil"/>
              <w:bottom w:val="nil"/>
              <w:right w:val="nil"/>
            </w:tcBorders>
            <w:shd w:val="clear" w:color="000000" w:fill="FFFFFF"/>
            <w:noWrap/>
            <w:vAlign w:val="center"/>
            <w:hideMark/>
          </w:tcPr>
          <w:p w14:paraId="0F31B2F5" w14:textId="77777777" w:rsidR="00463687" w:rsidRPr="00463687" w:rsidRDefault="00463687" w:rsidP="00463687">
            <w:pPr>
              <w:spacing w:after="0" w:line="240" w:lineRule="auto"/>
              <w:ind w:right="4"/>
              <w:rPr>
                <w:rFonts w:ascii="Cambria" w:eastAsia="Times New Roman" w:hAnsi="Cambria" w:cs="Calibri"/>
                <w:b/>
                <w:bCs/>
                <w:color w:val="000000"/>
                <w:sz w:val="20"/>
                <w:szCs w:val="20"/>
              </w:rPr>
            </w:pPr>
            <w:r w:rsidRPr="00463687">
              <w:rPr>
                <w:rFonts w:ascii="Cambria" w:eastAsia="Times New Roman" w:hAnsi="Cambria" w:cs="Calibri"/>
                <w:b/>
                <w:bCs/>
                <w:color w:val="000000"/>
                <w:sz w:val="20"/>
                <w:szCs w:val="20"/>
              </w:rPr>
              <w:t>Burime të Jashtme</w:t>
            </w:r>
          </w:p>
        </w:tc>
        <w:tc>
          <w:tcPr>
            <w:tcW w:w="0" w:type="auto"/>
            <w:tcBorders>
              <w:top w:val="nil"/>
              <w:left w:val="nil"/>
              <w:bottom w:val="nil"/>
              <w:right w:val="nil"/>
            </w:tcBorders>
            <w:shd w:val="clear" w:color="000000" w:fill="FFFFFF"/>
            <w:noWrap/>
            <w:vAlign w:val="bottom"/>
            <w:hideMark/>
          </w:tcPr>
          <w:p w14:paraId="00AB268B" w14:textId="77777777" w:rsidR="00463687" w:rsidRPr="00463687" w:rsidRDefault="00463687" w:rsidP="00463687">
            <w:pPr>
              <w:spacing w:after="0" w:line="240" w:lineRule="auto"/>
              <w:ind w:right="4"/>
              <w:rPr>
                <w:rFonts w:ascii="Cambria" w:eastAsia="Times New Roman" w:hAnsi="Cambria" w:cs="Calibri"/>
                <w:b/>
                <w:bCs/>
                <w:sz w:val="20"/>
                <w:szCs w:val="20"/>
              </w:rPr>
            </w:pPr>
            <w:r w:rsidRPr="00463687">
              <w:rPr>
                <w:rFonts w:ascii="Cambria" w:eastAsia="Times New Roman" w:hAnsi="Cambria" w:cs="Calibri"/>
                <w:b/>
                <w:bCs/>
                <w:sz w:val="20"/>
                <w:szCs w:val="20"/>
              </w:rPr>
              <w:t xml:space="preserve">             136.1 </w:t>
            </w:r>
          </w:p>
        </w:tc>
        <w:tc>
          <w:tcPr>
            <w:tcW w:w="0" w:type="auto"/>
            <w:tcBorders>
              <w:top w:val="nil"/>
              <w:left w:val="nil"/>
              <w:bottom w:val="nil"/>
              <w:right w:val="nil"/>
            </w:tcBorders>
            <w:shd w:val="clear" w:color="000000" w:fill="FFFFFF"/>
            <w:noWrap/>
            <w:vAlign w:val="bottom"/>
            <w:hideMark/>
          </w:tcPr>
          <w:p w14:paraId="40F24530" w14:textId="77777777" w:rsidR="00463687" w:rsidRPr="00463687" w:rsidRDefault="00463687" w:rsidP="00463687">
            <w:pPr>
              <w:spacing w:after="0" w:line="240" w:lineRule="auto"/>
              <w:ind w:right="4"/>
              <w:jc w:val="right"/>
              <w:rPr>
                <w:rFonts w:ascii="Cambria" w:eastAsia="Times New Roman" w:hAnsi="Cambria" w:cs="Calibri"/>
                <w:b/>
                <w:bCs/>
                <w:sz w:val="20"/>
                <w:szCs w:val="20"/>
              </w:rPr>
            </w:pPr>
            <w:r w:rsidRPr="00463687">
              <w:rPr>
                <w:rFonts w:ascii="Cambria" w:eastAsia="Times New Roman" w:hAnsi="Cambria" w:cs="Calibri"/>
                <w:b/>
                <w:bCs/>
                <w:sz w:val="20"/>
                <w:szCs w:val="20"/>
              </w:rPr>
              <w:t>28.3%</w:t>
            </w:r>
          </w:p>
        </w:tc>
        <w:tc>
          <w:tcPr>
            <w:tcW w:w="0" w:type="auto"/>
            <w:tcBorders>
              <w:top w:val="nil"/>
              <w:left w:val="nil"/>
              <w:bottom w:val="nil"/>
              <w:right w:val="nil"/>
            </w:tcBorders>
            <w:shd w:val="clear" w:color="000000" w:fill="FFFFFF"/>
            <w:noWrap/>
            <w:vAlign w:val="bottom"/>
            <w:hideMark/>
          </w:tcPr>
          <w:p w14:paraId="2955201A" w14:textId="77777777" w:rsidR="00463687" w:rsidRPr="00463687" w:rsidRDefault="00463687" w:rsidP="00463687">
            <w:pPr>
              <w:spacing w:after="0" w:line="240" w:lineRule="auto"/>
              <w:ind w:right="4"/>
              <w:rPr>
                <w:rFonts w:ascii="Cambria" w:eastAsia="Times New Roman" w:hAnsi="Cambria" w:cs="Calibri"/>
                <w:b/>
                <w:bCs/>
                <w:sz w:val="20"/>
                <w:szCs w:val="20"/>
              </w:rPr>
            </w:pPr>
            <w:r w:rsidRPr="00463687">
              <w:rPr>
                <w:rFonts w:ascii="Cambria" w:eastAsia="Times New Roman" w:hAnsi="Cambria" w:cs="Calibri"/>
                <w:b/>
                <w:bCs/>
                <w:sz w:val="20"/>
                <w:szCs w:val="20"/>
              </w:rPr>
              <w:t xml:space="preserve">                         28.3 </w:t>
            </w:r>
          </w:p>
        </w:tc>
        <w:tc>
          <w:tcPr>
            <w:tcW w:w="0" w:type="auto"/>
            <w:tcBorders>
              <w:top w:val="nil"/>
              <w:left w:val="nil"/>
              <w:bottom w:val="nil"/>
              <w:right w:val="nil"/>
            </w:tcBorders>
            <w:shd w:val="clear" w:color="000000" w:fill="FFFFFF"/>
            <w:noWrap/>
            <w:vAlign w:val="bottom"/>
            <w:hideMark/>
          </w:tcPr>
          <w:p w14:paraId="41BD4655" w14:textId="77777777" w:rsidR="00463687" w:rsidRPr="00463687" w:rsidRDefault="00463687" w:rsidP="00463687">
            <w:pPr>
              <w:spacing w:after="0" w:line="240" w:lineRule="auto"/>
              <w:ind w:right="4"/>
              <w:jc w:val="right"/>
              <w:rPr>
                <w:rFonts w:ascii="Cambria" w:eastAsia="Times New Roman" w:hAnsi="Cambria" w:cs="Calibri"/>
                <w:b/>
                <w:bCs/>
                <w:sz w:val="20"/>
                <w:szCs w:val="20"/>
              </w:rPr>
            </w:pPr>
            <w:r w:rsidRPr="00463687">
              <w:rPr>
                <w:rFonts w:ascii="Cambria" w:eastAsia="Times New Roman" w:hAnsi="Cambria" w:cs="Calibri"/>
                <w:b/>
                <w:bCs/>
                <w:sz w:val="20"/>
                <w:szCs w:val="20"/>
              </w:rPr>
              <w:t>7.3%</w:t>
            </w:r>
          </w:p>
        </w:tc>
      </w:tr>
      <w:tr w:rsidR="00463687" w:rsidRPr="00463687" w14:paraId="60FC9600" w14:textId="77777777" w:rsidTr="0051067F">
        <w:trPr>
          <w:trHeight w:val="239"/>
        </w:trPr>
        <w:tc>
          <w:tcPr>
            <w:tcW w:w="0" w:type="auto"/>
            <w:tcBorders>
              <w:top w:val="nil"/>
              <w:left w:val="nil"/>
              <w:bottom w:val="nil"/>
              <w:right w:val="nil"/>
            </w:tcBorders>
            <w:shd w:val="clear" w:color="000000" w:fill="FFFFFF"/>
            <w:noWrap/>
            <w:vAlign w:val="center"/>
            <w:hideMark/>
          </w:tcPr>
          <w:p w14:paraId="55BC8499"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Hua për financimin e projekteve </w:t>
            </w:r>
          </w:p>
        </w:tc>
        <w:tc>
          <w:tcPr>
            <w:tcW w:w="0" w:type="auto"/>
            <w:tcBorders>
              <w:top w:val="nil"/>
              <w:left w:val="nil"/>
              <w:bottom w:val="nil"/>
              <w:right w:val="nil"/>
            </w:tcBorders>
            <w:shd w:val="clear" w:color="000000" w:fill="FFFFFF"/>
            <w:noWrap/>
            <w:vAlign w:val="bottom"/>
            <w:hideMark/>
          </w:tcPr>
          <w:p w14:paraId="3C37CC81"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16.3 </w:t>
            </w:r>
          </w:p>
        </w:tc>
        <w:tc>
          <w:tcPr>
            <w:tcW w:w="0" w:type="auto"/>
            <w:tcBorders>
              <w:top w:val="nil"/>
              <w:left w:val="nil"/>
              <w:bottom w:val="nil"/>
              <w:right w:val="nil"/>
            </w:tcBorders>
            <w:shd w:val="clear" w:color="000000" w:fill="FFFFFF"/>
            <w:noWrap/>
            <w:vAlign w:val="bottom"/>
            <w:hideMark/>
          </w:tcPr>
          <w:p w14:paraId="43AD526C"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3.4%</w:t>
            </w:r>
          </w:p>
        </w:tc>
        <w:tc>
          <w:tcPr>
            <w:tcW w:w="0" w:type="auto"/>
            <w:tcBorders>
              <w:top w:val="nil"/>
              <w:left w:val="nil"/>
              <w:bottom w:val="nil"/>
              <w:right w:val="nil"/>
            </w:tcBorders>
            <w:shd w:val="clear" w:color="000000" w:fill="FFFFFF"/>
            <w:noWrap/>
            <w:vAlign w:val="bottom"/>
            <w:hideMark/>
          </w:tcPr>
          <w:p w14:paraId="6B3FBFBD"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11.2 </w:t>
            </w:r>
          </w:p>
        </w:tc>
        <w:tc>
          <w:tcPr>
            <w:tcW w:w="0" w:type="auto"/>
            <w:tcBorders>
              <w:top w:val="nil"/>
              <w:left w:val="nil"/>
              <w:bottom w:val="nil"/>
              <w:right w:val="nil"/>
            </w:tcBorders>
            <w:shd w:val="clear" w:color="000000" w:fill="FFFFFF"/>
            <w:noWrap/>
            <w:vAlign w:val="bottom"/>
            <w:hideMark/>
          </w:tcPr>
          <w:p w14:paraId="07ABB2F2"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2.9%</w:t>
            </w:r>
          </w:p>
        </w:tc>
      </w:tr>
      <w:tr w:rsidR="00463687" w:rsidRPr="00463687" w14:paraId="5C41F388" w14:textId="77777777" w:rsidTr="0051067F">
        <w:trPr>
          <w:trHeight w:val="239"/>
        </w:trPr>
        <w:tc>
          <w:tcPr>
            <w:tcW w:w="0" w:type="auto"/>
            <w:tcBorders>
              <w:top w:val="nil"/>
              <w:left w:val="nil"/>
              <w:bottom w:val="nil"/>
              <w:right w:val="nil"/>
            </w:tcBorders>
            <w:shd w:val="clear" w:color="000000" w:fill="FFFFFF"/>
            <w:noWrap/>
            <w:vAlign w:val="center"/>
            <w:hideMark/>
          </w:tcPr>
          <w:p w14:paraId="55135EA8"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Mbështetje Buxhetore</w:t>
            </w:r>
          </w:p>
        </w:tc>
        <w:tc>
          <w:tcPr>
            <w:tcW w:w="0" w:type="auto"/>
            <w:tcBorders>
              <w:top w:val="nil"/>
              <w:left w:val="nil"/>
              <w:bottom w:val="nil"/>
              <w:right w:val="nil"/>
            </w:tcBorders>
            <w:shd w:val="clear" w:color="000000" w:fill="FFFFFF"/>
            <w:noWrap/>
            <w:vAlign w:val="bottom"/>
            <w:hideMark/>
          </w:tcPr>
          <w:p w14:paraId="63233902"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42.6 </w:t>
            </w:r>
          </w:p>
        </w:tc>
        <w:tc>
          <w:tcPr>
            <w:tcW w:w="0" w:type="auto"/>
            <w:tcBorders>
              <w:top w:val="nil"/>
              <w:left w:val="nil"/>
              <w:bottom w:val="nil"/>
              <w:right w:val="nil"/>
            </w:tcBorders>
            <w:shd w:val="clear" w:color="000000" w:fill="FFFFFF"/>
            <w:noWrap/>
            <w:vAlign w:val="bottom"/>
            <w:hideMark/>
          </w:tcPr>
          <w:p w14:paraId="594EE3BB"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8.8%</w:t>
            </w:r>
          </w:p>
        </w:tc>
        <w:tc>
          <w:tcPr>
            <w:tcW w:w="0" w:type="auto"/>
            <w:tcBorders>
              <w:top w:val="nil"/>
              <w:left w:val="nil"/>
              <w:bottom w:val="nil"/>
              <w:right w:val="nil"/>
            </w:tcBorders>
            <w:shd w:val="clear" w:color="000000" w:fill="FFFFFF"/>
            <w:noWrap/>
            <w:vAlign w:val="bottom"/>
            <w:hideMark/>
          </w:tcPr>
          <w:p w14:paraId="42836D40"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17.1 </w:t>
            </w:r>
          </w:p>
        </w:tc>
        <w:tc>
          <w:tcPr>
            <w:tcW w:w="0" w:type="auto"/>
            <w:tcBorders>
              <w:top w:val="nil"/>
              <w:left w:val="nil"/>
              <w:bottom w:val="nil"/>
              <w:right w:val="nil"/>
            </w:tcBorders>
            <w:shd w:val="clear" w:color="000000" w:fill="FFFFFF"/>
            <w:noWrap/>
            <w:vAlign w:val="bottom"/>
            <w:hideMark/>
          </w:tcPr>
          <w:p w14:paraId="470314CE"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4.4%</w:t>
            </w:r>
          </w:p>
        </w:tc>
      </w:tr>
      <w:tr w:rsidR="00463687" w:rsidRPr="00463687" w14:paraId="4591923E" w14:textId="77777777" w:rsidTr="0051067F">
        <w:trPr>
          <w:trHeight w:val="239"/>
        </w:trPr>
        <w:tc>
          <w:tcPr>
            <w:tcW w:w="0" w:type="auto"/>
            <w:tcBorders>
              <w:top w:val="nil"/>
              <w:left w:val="nil"/>
              <w:bottom w:val="nil"/>
              <w:right w:val="nil"/>
            </w:tcBorders>
            <w:shd w:val="clear" w:color="000000" w:fill="FFFFFF"/>
            <w:noWrap/>
            <w:vAlign w:val="center"/>
            <w:hideMark/>
          </w:tcPr>
          <w:p w14:paraId="69289A4C"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PBG</w:t>
            </w:r>
          </w:p>
        </w:tc>
        <w:tc>
          <w:tcPr>
            <w:tcW w:w="0" w:type="auto"/>
            <w:tcBorders>
              <w:top w:val="nil"/>
              <w:left w:val="nil"/>
              <w:bottom w:val="nil"/>
              <w:right w:val="nil"/>
            </w:tcBorders>
            <w:shd w:val="clear" w:color="000000" w:fill="FFFFFF"/>
            <w:noWrap/>
            <w:vAlign w:val="bottom"/>
            <w:hideMark/>
          </w:tcPr>
          <w:p w14:paraId="55B4330B"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   </w:t>
            </w:r>
          </w:p>
        </w:tc>
        <w:tc>
          <w:tcPr>
            <w:tcW w:w="0" w:type="auto"/>
            <w:tcBorders>
              <w:top w:val="nil"/>
              <w:left w:val="nil"/>
              <w:bottom w:val="nil"/>
              <w:right w:val="nil"/>
            </w:tcBorders>
            <w:shd w:val="clear" w:color="000000" w:fill="FFFFFF"/>
            <w:noWrap/>
            <w:vAlign w:val="bottom"/>
            <w:hideMark/>
          </w:tcPr>
          <w:p w14:paraId="7D171A3D"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0.0%</w:t>
            </w:r>
          </w:p>
        </w:tc>
        <w:tc>
          <w:tcPr>
            <w:tcW w:w="0" w:type="auto"/>
            <w:tcBorders>
              <w:top w:val="nil"/>
              <w:left w:val="nil"/>
              <w:bottom w:val="nil"/>
              <w:right w:val="nil"/>
            </w:tcBorders>
            <w:shd w:val="clear" w:color="000000" w:fill="FFFFFF"/>
            <w:noWrap/>
            <w:vAlign w:val="bottom"/>
            <w:hideMark/>
          </w:tcPr>
          <w:p w14:paraId="7A568FEA"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   </w:t>
            </w:r>
          </w:p>
        </w:tc>
        <w:tc>
          <w:tcPr>
            <w:tcW w:w="0" w:type="auto"/>
            <w:tcBorders>
              <w:top w:val="nil"/>
              <w:left w:val="nil"/>
              <w:bottom w:val="nil"/>
              <w:right w:val="nil"/>
            </w:tcBorders>
            <w:shd w:val="clear" w:color="000000" w:fill="FFFFFF"/>
            <w:noWrap/>
            <w:vAlign w:val="bottom"/>
            <w:hideMark/>
          </w:tcPr>
          <w:p w14:paraId="65DC0AA7"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0.0%</w:t>
            </w:r>
          </w:p>
        </w:tc>
      </w:tr>
      <w:tr w:rsidR="00463687" w:rsidRPr="00463687" w14:paraId="10EE5795" w14:textId="77777777" w:rsidTr="0051067F">
        <w:trPr>
          <w:trHeight w:val="239"/>
        </w:trPr>
        <w:tc>
          <w:tcPr>
            <w:tcW w:w="0" w:type="auto"/>
            <w:tcBorders>
              <w:top w:val="nil"/>
              <w:left w:val="nil"/>
              <w:bottom w:val="single" w:sz="4" w:space="0" w:color="auto"/>
              <w:right w:val="nil"/>
            </w:tcBorders>
            <w:shd w:val="clear" w:color="000000" w:fill="FFFFFF"/>
            <w:noWrap/>
            <w:vAlign w:val="center"/>
            <w:hideMark/>
          </w:tcPr>
          <w:p w14:paraId="7CA42BBD" w14:textId="77777777" w:rsidR="00463687" w:rsidRPr="00463687" w:rsidRDefault="00463687" w:rsidP="00463687">
            <w:pPr>
              <w:spacing w:after="0" w:line="240" w:lineRule="auto"/>
              <w:ind w:right="4"/>
              <w:rPr>
                <w:rFonts w:ascii="Cambria" w:eastAsia="Times New Roman" w:hAnsi="Cambria" w:cs="Calibri"/>
                <w:color w:val="000000"/>
                <w:sz w:val="20"/>
                <w:szCs w:val="20"/>
              </w:rPr>
            </w:pPr>
            <w:r w:rsidRPr="00463687">
              <w:rPr>
                <w:rFonts w:ascii="Cambria" w:eastAsia="Times New Roman" w:hAnsi="Cambria" w:cs="Calibri"/>
                <w:color w:val="000000"/>
                <w:sz w:val="20"/>
                <w:szCs w:val="20"/>
              </w:rPr>
              <w:t xml:space="preserve">  Eurobond</w:t>
            </w:r>
          </w:p>
        </w:tc>
        <w:tc>
          <w:tcPr>
            <w:tcW w:w="0" w:type="auto"/>
            <w:tcBorders>
              <w:top w:val="nil"/>
              <w:left w:val="nil"/>
              <w:bottom w:val="single" w:sz="4" w:space="0" w:color="auto"/>
              <w:right w:val="nil"/>
            </w:tcBorders>
            <w:shd w:val="clear" w:color="000000" w:fill="FFFFFF"/>
            <w:noWrap/>
            <w:vAlign w:val="bottom"/>
            <w:hideMark/>
          </w:tcPr>
          <w:p w14:paraId="412EDBFC"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77.2 </w:t>
            </w:r>
          </w:p>
        </w:tc>
        <w:tc>
          <w:tcPr>
            <w:tcW w:w="0" w:type="auto"/>
            <w:tcBorders>
              <w:top w:val="nil"/>
              <w:left w:val="nil"/>
              <w:bottom w:val="single" w:sz="4" w:space="0" w:color="auto"/>
              <w:right w:val="nil"/>
            </w:tcBorders>
            <w:shd w:val="clear" w:color="000000" w:fill="FFFFFF"/>
            <w:noWrap/>
            <w:vAlign w:val="bottom"/>
            <w:hideMark/>
          </w:tcPr>
          <w:p w14:paraId="3DBA22CC"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16.0%</w:t>
            </w:r>
          </w:p>
        </w:tc>
        <w:tc>
          <w:tcPr>
            <w:tcW w:w="0" w:type="auto"/>
            <w:tcBorders>
              <w:top w:val="nil"/>
              <w:left w:val="nil"/>
              <w:bottom w:val="single" w:sz="4" w:space="0" w:color="auto"/>
              <w:right w:val="nil"/>
            </w:tcBorders>
            <w:shd w:val="clear" w:color="000000" w:fill="FFFFFF"/>
            <w:noWrap/>
            <w:vAlign w:val="bottom"/>
            <w:hideMark/>
          </w:tcPr>
          <w:p w14:paraId="28D5B431" w14:textId="77777777" w:rsidR="00463687" w:rsidRPr="00463687" w:rsidRDefault="00463687" w:rsidP="00463687">
            <w:pPr>
              <w:spacing w:after="0" w:line="240" w:lineRule="auto"/>
              <w:ind w:right="4"/>
              <w:rPr>
                <w:rFonts w:ascii="Cambria" w:eastAsia="Times New Roman" w:hAnsi="Cambria" w:cs="Calibri"/>
                <w:sz w:val="20"/>
                <w:szCs w:val="20"/>
              </w:rPr>
            </w:pPr>
            <w:r w:rsidRPr="00463687">
              <w:rPr>
                <w:rFonts w:ascii="Cambria" w:eastAsia="Times New Roman" w:hAnsi="Cambria" w:cs="Calibri"/>
                <w:sz w:val="20"/>
                <w:szCs w:val="20"/>
              </w:rPr>
              <w:t xml:space="preserve">                               -   </w:t>
            </w:r>
          </w:p>
        </w:tc>
        <w:tc>
          <w:tcPr>
            <w:tcW w:w="0" w:type="auto"/>
            <w:tcBorders>
              <w:top w:val="nil"/>
              <w:left w:val="nil"/>
              <w:bottom w:val="single" w:sz="4" w:space="0" w:color="auto"/>
              <w:right w:val="nil"/>
            </w:tcBorders>
            <w:shd w:val="clear" w:color="000000" w:fill="FFFFFF"/>
            <w:noWrap/>
            <w:vAlign w:val="bottom"/>
            <w:hideMark/>
          </w:tcPr>
          <w:p w14:paraId="296E8B9A" w14:textId="77777777" w:rsidR="00463687" w:rsidRPr="00463687" w:rsidRDefault="00463687" w:rsidP="00463687">
            <w:pPr>
              <w:spacing w:after="0" w:line="240" w:lineRule="auto"/>
              <w:ind w:right="4"/>
              <w:jc w:val="right"/>
              <w:rPr>
                <w:rFonts w:ascii="Cambria" w:eastAsia="Times New Roman" w:hAnsi="Cambria" w:cs="Calibri"/>
                <w:sz w:val="20"/>
                <w:szCs w:val="20"/>
              </w:rPr>
            </w:pPr>
            <w:r w:rsidRPr="00463687">
              <w:rPr>
                <w:rFonts w:ascii="Cambria" w:eastAsia="Times New Roman" w:hAnsi="Cambria" w:cs="Calibri"/>
                <w:sz w:val="20"/>
                <w:szCs w:val="20"/>
              </w:rPr>
              <w:t>0.0%</w:t>
            </w:r>
          </w:p>
        </w:tc>
      </w:tr>
      <w:tr w:rsidR="00463687" w:rsidRPr="00463687" w14:paraId="2BFB8C2A" w14:textId="77777777" w:rsidTr="0051067F">
        <w:trPr>
          <w:trHeight w:val="239"/>
        </w:trPr>
        <w:tc>
          <w:tcPr>
            <w:tcW w:w="0" w:type="auto"/>
            <w:tcBorders>
              <w:top w:val="nil"/>
              <w:left w:val="nil"/>
              <w:bottom w:val="single" w:sz="4" w:space="0" w:color="auto"/>
              <w:right w:val="nil"/>
            </w:tcBorders>
            <w:shd w:val="clear" w:color="000000" w:fill="FFFFFF"/>
            <w:noWrap/>
            <w:vAlign w:val="bottom"/>
            <w:hideMark/>
          </w:tcPr>
          <w:p w14:paraId="22A2B14B" w14:textId="77777777" w:rsidR="00463687" w:rsidRPr="00463687" w:rsidRDefault="00463687" w:rsidP="00463687">
            <w:pPr>
              <w:spacing w:after="0" w:line="240" w:lineRule="auto"/>
              <w:ind w:right="4"/>
              <w:rPr>
                <w:rFonts w:ascii="Cambria" w:eastAsia="Times New Roman" w:hAnsi="Cambria" w:cs="Calibri"/>
                <w:b/>
                <w:bCs/>
                <w:sz w:val="20"/>
                <w:szCs w:val="20"/>
              </w:rPr>
            </w:pPr>
            <w:r w:rsidRPr="00463687">
              <w:rPr>
                <w:rFonts w:ascii="Cambria" w:eastAsia="Times New Roman" w:hAnsi="Cambria" w:cs="Calibri"/>
                <w:b/>
                <w:bCs/>
                <w:sz w:val="20"/>
                <w:szCs w:val="20"/>
              </w:rPr>
              <w:t>Total Huamarrja</w:t>
            </w:r>
          </w:p>
        </w:tc>
        <w:tc>
          <w:tcPr>
            <w:tcW w:w="0" w:type="auto"/>
            <w:tcBorders>
              <w:top w:val="nil"/>
              <w:left w:val="nil"/>
              <w:bottom w:val="single" w:sz="4" w:space="0" w:color="auto"/>
              <w:right w:val="nil"/>
            </w:tcBorders>
            <w:shd w:val="clear" w:color="000000" w:fill="FFFFFF"/>
            <w:noWrap/>
            <w:vAlign w:val="bottom"/>
            <w:hideMark/>
          </w:tcPr>
          <w:p w14:paraId="56784CA2" w14:textId="77777777" w:rsidR="00463687" w:rsidRPr="00463687" w:rsidRDefault="00463687" w:rsidP="00463687">
            <w:pPr>
              <w:spacing w:after="0" w:line="240" w:lineRule="auto"/>
              <w:ind w:right="4"/>
              <w:rPr>
                <w:rFonts w:ascii="Cambria" w:eastAsia="Times New Roman" w:hAnsi="Cambria" w:cs="Calibri"/>
                <w:b/>
                <w:bCs/>
                <w:sz w:val="20"/>
                <w:szCs w:val="20"/>
              </w:rPr>
            </w:pPr>
            <w:r w:rsidRPr="00463687">
              <w:rPr>
                <w:rFonts w:ascii="Cambria" w:eastAsia="Times New Roman" w:hAnsi="Cambria" w:cs="Calibri"/>
                <w:b/>
                <w:bCs/>
                <w:sz w:val="20"/>
                <w:szCs w:val="20"/>
              </w:rPr>
              <w:t xml:space="preserve">             481.2 </w:t>
            </w:r>
          </w:p>
        </w:tc>
        <w:tc>
          <w:tcPr>
            <w:tcW w:w="0" w:type="auto"/>
            <w:tcBorders>
              <w:top w:val="nil"/>
              <w:left w:val="nil"/>
              <w:bottom w:val="single" w:sz="4" w:space="0" w:color="auto"/>
              <w:right w:val="nil"/>
            </w:tcBorders>
            <w:shd w:val="clear" w:color="000000" w:fill="FFFFFF"/>
            <w:noWrap/>
            <w:vAlign w:val="bottom"/>
            <w:hideMark/>
          </w:tcPr>
          <w:p w14:paraId="6020BA24" w14:textId="77777777" w:rsidR="00463687" w:rsidRPr="00463687" w:rsidRDefault="00463687" w:rsidP="00463687">
            <w:pPr>
              <w:spacing w:after="0" w:line="240" w:lineRule="auto"/>
              <w:ind w:right="4"/>
              <w:jc w:val="right"/>
              <w:rPr>
                <w:rFonts w:ascii="Cambria" w:eastAsia="Times New Roman" w:hAnsi="Cambria" w:cs="Calibri"/>
                <w:b/>
                <w:bCs/>
                <w:sz w:val="20"/>
                <w:szCs w:val="20"/>
              </w:rPr>
            </w:pPr>
            <w:r w:rsidRPr="00463687">
              <w:rPr>
                <w:rFonts w:ascii="Cambria" w:eastAsia="Times New Roman" w:hAnsi="Cambria" w:cs="Calibri"/>
                <w:b/>
                <w:bCs/>
                <w:sz w:val="20"/>
                <w:szCs w:val="20"/>
              </w:rPr>
              <w:t>100.0%</w:t>
            </w:r>
          </w:p>
        </w:tc>
        <w:tc>
          <w:tcPr>
            <w:tcW w:w="0" w:type="auto"/>
            <w:tcBorders>
              <w:top w:val="nil"/>
              <w:left w:val="nil"/>
              <w:bottom w:val="single" w:sz="4" w:space="0" w:color="auto"/>
              <w:right w:val="nil"/>
            </w:tcBorders>
            <w:shd w:val="clear" w:color="000000" w:fill="FFFFFF"/>
            <w:noWrap/>
            <w:vAlign w:val="bottom"/>
            <w:hideMark/>
          </w:tcPr>
          <w:p w14:paraId="6291E85E" w14:textId="77777777" w:rsidR="00463687" w:rsidRPr="00463687" w:rsidRDefault="00463687" w:rsidP="00463687">
            <w:pPr>
              <w:spacing w:after="0" w:line="240" w:lineRule="auto"/>
              <w:ind w:right="4"/>
              <w:rPr>
                <w:rFonts w:ascii="Cambria" w:eastAsia="Times New Roman" w:hAnsi="Cambria" w:cs="Calibri"/>
                <w:b/>
                <w:bCs/>
                <w:sz w:val="20"/>
                <w:szCs w:val="20"/>
              </w:rPr>
            </w:pPr>
            <w:r w:rsidRPr="00463687">
              <w:rPr>
                <w:rFonts w:ascii="Cambria" w:eastAsia="Times New Roman" w:hAnsi="Cambria" w:cs="Calibri"/>
                <w:b/>
                <w:bCs/>
                <w:sz w:val="20"/>
                <w:szCs w:val="20"/>
              </w:rPr>
              <w:t xml:space="preserve">                       386.1</w:t>
            </w:r>
          </w:p>
        </w:tc>
        <w:tc>
          <w:tcPr>
            <w:tcW w:w="0" w:type="auto"/>
            <w:tcBorders>
              <w:top w:val="nil"/>
              <w:left w:val="nil"/>
              <w:bottom w:val="single" w:sz="4" w:space="0" w:color="auto"/>
              <w:right w:val="nil"/>
            </w:tcBorders>
            <w:shd w:val="clear" w:color="000000" w:fill="FFFFFF"/>
            <w:noWrap/>
            <w:vAlign w:val="bottom"/>
            <w:hideMark/>
          </w:tcPr>
          <w:p w14:paraId="128C5091" w14:textId="77777777" w:rsidR="00463687" w:rsidRPr="00463687" w:rsidRDefault="00463687" w:rsidP="00463687">
            <w:pPr>
              <w:spacing w:after="0" w:line="240" w:lineRule="auto"/>
              <w:ind w:right="4"/>
              <w:jc w:val="right"/>
              <w:rPr>
                <w:rFonts w:ascii="Cambria" w:eastAsia="Times New Roman" w:hAnsi="Cambria" w:cs="Calibri"/>
                <w:b/>
                <w:bCs/>
                <w:sz w:val="20"/>
                <w:szCs w:val="20"/>
              </w:rPr>
            </w:pPr>
            <w:r w:rsidRPr="00463687">
              <w:rPr>
                <w:rFonts w:ascii="Cambria" w:eastAsia="Times New Roman" w:hAnsi="Cambria" w:cs="Calibri"/>
                <w:b/>
                <w:bCs/>
                <w:sz w:val="20"/>
                <w:szCs w:val="20"/>
              </w:rPr>
              <w:t>100.0%</w:t>
            </w:r>
          </w:p>
        </w:tc>
      </w:tr>
    </w:tbl>
    <w:p w14:paraId="6C3CF7A7" w14:textId="77777777" w:rsidR="00463687" w:rsidRPr="00463687" w:rsidRDefault="00463687" w:rsidP="00463687">
      <w:pPr>
        <w:ind w:right="4"/>
        <w:rPr>
          <w:rFonts w:ascii="Cambria" w:hAnsi="Cambria" w:cs="Times New Roman"/>
          <w:i/>
          <w:sz w:val="20"/>
          <w:szCs w:val="20"/>
        </w:rPr>
      </w:pPr>
      <w:r w:rsidRPr="00463687">
        <w:rPr>
          <w:rFonts w:ascii="Cambria" w:hAnsi="Cambria" w:cs="Times New Roman"/>
          <w:b/>
          <w:sz w:val="20"/>
          <w:szCs w:val="20"/>
        </w:rPr>
        <w:t>Burimi:</w:t>
      </w:r>
      <w:r w:rsidRPr="00463687">
        <w:rPr>
          <w:rFonts w:ascii="Cambria" w:hAnsi="Cambria" w:cs="Times New Roman"/>
          <w:sz w:val="20"/>
          <w:szCs w:val="20"/>
        </w:rPr>
        <w:t xml:space="preserve"> </w:t>
      </w:r>
      <w:r w:rsidRPr="00463687">
        <w:rPr>
          <w:rFonts w:ascii="Cambria" w:hAnsi="Cambria" w:cs="Times New Roman"/>
          <w:i/>
          <w:sz w:val="20"/>
          <w:szCs w:val="20"/>
        </w:rPr>
        <w:t>Ministria e Financave dhe Ekonomisë 2023</w:t>
      </w:r>
    </w:p>
    <w:p w14:paraId="6780B140" w14:textId="77777777" w:rsidR="00463687" w:rsidRDefault="00463687" w:rsidP="00BC5BC9">
      <w:pPr>
        <w:pStyle w:val="ListParagraph"/>
        <w:tabs>
          <w:tab w:val="left" w:pos="8789"/>
        </w:tabs>
        <w:spacing w:after="0" w:line="276" w:lineRule="auto"/>
        <w:ind w:left="0" w:right="-46"/>
        <w:jc w:val="both"/>
        <w:rPr>
          <w:rFonts w:ascii="Times New Roman" w:hAnsi="Times New Roman" w:cs="Times New Roman"/>
          <w:noProof/>
          <w:sz w:val="24"/>
          <w:szCs w:val="24"/>
        </w:rPr>
      </w:pPr>
    </w:p>
    <w:p w14:paraId="3FE8F9B2" w14:textId="77777777" w:rsidR="00AA203D" w:rsidRPr="00B456F4" w:rsidRDefault="00AA203D" w:rsidP="00B92540">
      <w:pPr>
        <w:pStyle w:val="Heading2"/>
        <w:numPr>
          <w:ilvl w:val="1"/>
          <w:numId w:val="5"/>
        </w:numPr>
        <w:spacing w:before="0" w:after="240" w:line="276" w:lineRule="auto"/>
        <w:ind w:left="0" w:right="-188" w:firstLine="0"/>
        <w:jc w:val="both"/>
        <w:rPr>
          <w:rFonts w:ascii="Cambria" w:hAnsi="Cambria"/>
          <w:noProof/>
          <w:szCs w:val="24"/>
        </w:rPr>
      </w:pPr>
      <w:bookmarkStart w:id="9" w:name="_Toc34645065"/>
      <w:r w:rsidRPr="00B456F4">
        <w:rPr>
          <w:rFonts w:ascii="Cambria" w:hAnsi="Cambria"/>
          <w:noProof/>
          <w:szCs w:val="24"/>
        </w:rPr>
        <w:t>Huamarrja e Brendshme</w:t>
      </w:r>
      <w:bookmarkEnd w:id="9"/>
    </w:p>
    <w:p w14:paraId="4B3B5BB6" w14:textId="77777777" w:rsidR="00463687" w:rsidRPr="009D671C" w:rsidRDefault="00463687" w:rsidP="00463687">
      <w:pPr>
        <w:tabs>
          <w:tab w:val="left" w:pos="8505"/>
          <w:tab w:val="left" w:pos="8789"/>
        </w:tabs>
        <w:spacing w:after="0" w:line="276" w:lineRule="auto"/>
        <w:ind w:right="4"/>
        <w:jc w:val="both"/>
        <w:rPr>
          <w:rFonts w:ascii="Times New Roman" w:hAnsi="Times New Roman" w:cs="Times New Roman"/>
          <w:sz w:val="24"/>
          <w:szCs w:val="24"/>
        </w:rPr>
      </w:pPr>
      <w:r w:rsidRPr="009D671C">
        <w:rPr>
          <w:rFonts w:ascii="Times New Roman" w:hAnsi="Times New Roman" w:cs="Times New Roman"/>
          <w:noProof/>
          <w:sz w:val="24"/>
          <w:szCs w:val="24"/>
        </w:rPr>
        <w:t xml:space="preserve">Qeveria emetoi 357.9 mld Lekë tituj shtetërore në tregun e brendshëm, nga të cilët 245.5 mld Lekë Bono Thesari dhe 112.3 mld Lekë Obligacione. Viti 2022 ka qenë një vit jo i zakonshëm për sa i përket realizimit të huamarrjes. Ndryshimet e normës bazë nga Banka e Shqipërisë, konteksti aktual i shënjuar nga një inflacion i lartë, si dhe pritjet e tregut për reagimin e mëtejshëm  të politikës monetare, orientuan investitorët në kërkimin e yield-eve të larta si dhe një preferencë për instrumenta me afate të shkurtra maturimi. Si rrjedhojë borxhi i ri është mundësuar tërësisht nëpërmjet titujve afatshkurtër. Huamarrja neto në fund të vitit 2022 rezultoi 26.3 mld Lekë, ku 32.4 mld Lekë financim neto është realizuar nëpërmjet bonove të thesarit, ndërsa sa i takon Obligacioneve, financimi neto rezulton negativ prej -6.0 mld Lekë, që do të thotë se gjatë vitit 2022 janë maturuar Obligacione më shumë se sa janë emetuar. </w:t>
      </w:r>
      <w:r w:rsidRPr="009D671C">
        <w:rPr>
          <w:rFonts w:ascii="Times New Roman" w:hAnsi="Times New Roman" w:cs="Times New Roman"/>
          <w:sz w:val="24"/>
          <w:szCs w:val="24"/>
        </w:rPr>
        <w:t xml:space="preserve">Financimi neto, krahasuar me vitin 2021 është konsiderueshëm më i ulët (rreth 20 mld Lekë më i ulët se viti 2021). Megjithatë, realizimi i një huamarrje më të ulët nga ajo e pritshme për vitin 2022, nuk ka ndikuar në financat publike duke qenë se kjo periudhë nga ana tjetër është karaktrizuar nga zhvillime pozitive në drejtim të të ardhurave buxhetore, dhe një niveli likuiditeti të mjaftueshëm gjatë gjithë periudhës. </w:t>
      </w:r>
    </w:p>
    <w:p w14:paraId="73515703" w14:textId="77777777" w:rsidR="00463687" w:rsidRPr="00463687" w:rsidRDefault="00463687" w:rsidP="00463687">
      <w:pPr>
        <w:tabs>
          <w:tab w:val="left" w:pos="1182"/>
        </w:tabs>
        <w:spacing w:after="0" w:line="276" w:lineRule="auto"/>
        <w:ind w:right="-46"/>
        <w:jc w:val="both"/>
        <w:rPr>
          <w:rFonts w:ascii="Times New Roman" w:hAnsi="Times New Roman" w:cs="Times New Roman"/>
          <w:noProof/>
          <w:sz w:val="24"/>
          <w:szCs w:val="24"/>
        </w:rPr>
      </w:pPr>
    </w:p>
    <w:p w14:paraId="103B6620" w14:textId="19DCEB4B" w:rsidR="00463687" w:rsidRPr="009D671C" w:rsidRDefault="00463687" w:rsidP="00463687">
      <w:pPr>
        <w:tabs>
          <w:tab w:val="left" w:pos="8505"/>
          <w:tab w:val="left" w:pos="8789"/>
        </w:tabs>
        <w:spacing w:after="0" w:line="276" w:lineRule="auto"/>
        <w:ind w:right="4"/>
        <w:jc w:val="both"/>
        <w:rPr>
          <w:rFonts w:ascii="Times New Roman" w:hAnsi="Times New Roman" w:cs="Times New Roman"/>
          <w:sz w:val="24"/>
          <w:szCs w:val="24"/>
        </w:rPr>
      </w:pPr>
      <w:r w:rsidRPr="009D671C">
        <w:rPr>
          <w:rFonts w:ascii="Times New Roman" w:hAnsi="Times New Roman" w:cs="Times New Roman"/>
          <w:noProof/>
          <w:sz w:val="24"/>
          <w:szCs w:val="24"/>
        </w:rPr>
        <w:t xml:space="preserve">Pjesa më e madhe e financimit neto është realizuar gjatë tremujorit të katërt të vitit, ku në kushtet e materializimit me masa konkrete dhe të intensifikuara të autoritetit të politikës monetare, u krijuan rrethana më relaksuese në drejtim të zbulimit të çmimit sa i takon investitorëve, për rrjedhojë pati një reagim pozitiv sa i takon kërkesës për tituj qeveritarë. </w:t>
      </w:r>
    </w:p>
    <w:p w14:paraId="5C59FF6C" w14:textId="77777777" w:rsidR="00463687" w:rsidRPr="004900A0" w:rsidRDefault="00463687" w:rsidP="00463687">
      <w:pPr>
        <w:tabs>
          <w:tab w:val="left" w:pos="1182"/>
        </w:tabs>
        <w:spacing w:after="0" w:line="276" w:lineRule="auto"/>
        <w:ind w:right="-46"/>
        <w:jc w:val="both"/>
        <w:rPr>
          <w:rFonts w:ascii="Times New Roman" w:hAnsi="Times New Roman" w:cs="Times New Roman"/>
          <w:noProof/>
          <w:sz w:val="4"/>
          <w:szCs w:val="4"/>
        </w:rPr>
      </w:pPr>
    </w:p>
    <w:p w14:paraId="040E900D" w14:textId="77777777" w:rsidR="006061C1" w:rsidRDefault="006061C1" w:rsidP="00D20E82">
      <w:pPr>
        <w:spacing w:after="0" w:line="240" w:lineRule="auto"/>
        <w:ind w:right="-188"/>
        <w:jc w:val="center"/>
        <w:rPr>
          <w:rFonts w:ascii="Cambria" w:hAnsi="Cambria" w:cs="Times New Roman"/>
          <w:b/>
          <w:noProof/>
          <w:color w:val="000000" w:themeColor="text1"/>
          <w:sz w:val="20"/>
          <w:szCs w:val="20"/>
        </w:rPr>
      </w:pPr>
    </w:p>
    <w:p w14:paraId="7F6AF12A" w14:textId="77777777" w:rsidR="006061C1" w:rsidRDefault="006061C1" w:rsidP="000F60B2">
      <w:pPr>
        <w:spacing w:after="0" w:line="240" w:lineRule="auto"/>
        <w:ind w:right="-188"/>
        <w:rPr>
          <w:rFonts w:ascii="Cambria" w:hAnsi="Cambria" w:cs="Times New Roman"/>
          <w:b/>
          <w:noProof/>
          <w:color w:val="000000" w:themeColor="text1"/>
          <w:sz w:val="20"/>
          <w:szCs w:val="20"/>
        </w:rPr>
      </w:pPr>
    </w:p>
    <w:p w14:paraId="298BF99F" w14:textId="77777777" w:rsidR="009D671C" w:rsidRDefault="009D671C" w:rsidP="000F60B2">
      <w:pPr>
        <w:spacing w:after="0" w:line="240" w:lineRule="auto"/>
        <w:ind w:right="-188"/>
        <w:rPr>
          <w:rFonts w:ascii="Cambria" w:hAnsi="Cambria" w:cs="Times New Roman"/>
          <w:b/>
          <w:noProof/>
          <w:color w:val="000000" w:themeColor="text1"/>
          <w:sz w:val="20"/>
          <w:szCs w:val="20"/>
        </w:rPr>
      </w:pPr>
    </w:p>
    <w:p w14:paraId="2ADA5456" w14:textId="77777777" w:rsidR="0051067F" w:rsidRDefault="0051067F" w:rsidP="003506A7">
      <w:pPr>
        <w:spacing w:after="0" w:line="240" w:lineRule="auto"/>
        <w:ind w:right="-188"/>
        <w:jc w:val="center"/>
        <w:rPr>
          <w:rFonts w:ascii="Cambria" w:hAnsi="Cambria" w:cs="Times New Roman"/>
          <w:b/>
          <w:noProof/>
          <w:color w:val="000000" w:themeColor="text1"/>
          <w:sz w:val="20"/>
          <w:szCs w:val="20"/>
        </w:rPr>
      </w:pPr>
    </w:p>
    <w:p w14:paraId="39CD1EA3" w14:textId="6B53F677" w:rsidR="00463687" w:rsidRPr="009D671C" w:rsidRDefault="00AA203D" w:rsidP="009D671C">
      <w:pPr>
        <w:spacing w:after="0" w:line="240" w:lineRule="auto"/>
        <w:ind w:right="-188"/>
        <w:jc w:val="center"/>
        <w:rPr>
          <w:rFonts w:ascii="Cambria" w:eastAsia="Times New Roman" w:hAnsi="Cambria"/>
          <w:i/>
          <w:noProof/>
          <w:color w:val="000000" w:themeColor="text1"/>
          <w:sz w:val="20"/>
          <w:szCs w:val="20"/>
        </w:rPr>
      </w:pPr>
      <w:r w:rsidRPr="00B456F4">
        <w:rPr>
          <w:rFonts w:ascii="Cambria" w:hAnsi="Cambria" w:cs="Times New Roman"/>
          <w:b/>
          <w:noProof/>
          <w:color w:val="000000" w:themeColor="text1"/>
          <w:sz w:val="20"/>
          <w:szCs w:val="20"/>
        </w:rPr>
        <w:lastRenderedPageBreak/>
        <w:t xml:space="preserve">Tabela 4.1: </w:t>
      </w:r>
      <w:r w:rsidRPr="00B456F4">
        <w:rPr>
          <w:rFonts w:ascii="Cambria" w:eastAsia="Times New Roman" w:hAnsi="Cambria"/>
          <w:i/>
          <w:noProof/>
          <w:color w:val="000000" w:themeColor="text1"/>
          <w:sz w:val="20"/>
          <w:szCs w:val="20"/>
        </w:rPr>
        <w:t xml:space="preserve">Huamarrja </w:t>
      </w:r>
      <w:r w:rsidR="00163842" w:rsidRPr="00B456F4">
        <w:rPr>
          <w:rFonts w:ascii="Cambria" w:eastAsia="Times New Roman" w:hAnsi="Cambria"/>
          <w:i/>
          <w:noProof/>
          <w:color w:val="000000" w:themeColor="text1"/>
          <w:sz w:val="20"/>
          <w:szCs w:val="20"/>
        </w:rPr>
        <w:t>shtet</w:t>
      </w:r>
      <w:r w:rsidR="00E54CB1" w:rsidRPr="00B456F4">
        <w:rPr>
          <w:rFonts w:ascii="Cambria" w:eastAsia="Times New Roman" w:hAnsi="Cambria"/>
          <w:i/>
          <w:noProof/>
          <w:color w:val="000000" w:themeColor="text1"/>
          <w:sz w:val="20"/>
          <w:szCs w:val="20"/>
        </w:rPr>
        <w:t>ë</w:t>
      </w:r>
      <w:r w:rsidR="00163842" w:rsidRPr="00B456F4">
        <w:rPr>
          <w:rFonts w:ascii="Cambria" w:eastAsia="Times New Roman" w:hAnsi="Cambria"/>
          <w:i/>
          <w:noProof/>
          <w:color w:val="000000" w:themeColor="text1"/>
          <w:sz w:val="20"/>
          <w:szCs w:val="20"/>
        </w:rPr>
        <w:t>rore nga burim</w:t>
      </w:r>
      <w:r w:rsidRPr="00B456F4">
        <w:rPr>
          <w:rFonts w:ascii="Cambria" w:eastAsia="Times New Roman" w:hAnsi="Cambria"/>
          <w:i/>
          <w:noProof/>
          <w:color w:val="000000" w:themeColor="text1"/>
          <w:sz w:val="20"/>
          <w:szCs w:val="20"/>
        </w:rPr>
        <w:t xml:space="preserve">e </w:t>
      </w:r>
      <w:r w:rsidR="00163842" w:rsidRPr="00B456F4">
        <w:rPr>
          <w:rFonts w:ascii="Cambria" w:eastAsia="Times New Roman" w:hAnsi="Cambria"/>
          <w:i/>
          <w:noProof/>
          <w:color w:val="000000" w:themeColor="text1"/>
          <w:sz w:val="20"/>
          <w:szCs w:val="20"/>
        </w:rPr>
        <w:t>t</w:t>
      </w:r>
      <w:r w:rsidR="00E54CB1" w:rsidRPr="00B456F4">
        <w:rPr>
          <w:rFonts w:ascii="Cambria" w:eastAsia="Times New Roman" w:hAnsi="Cambria"/>
          <w:i/>
          <w:noProof/>
          <w:color w:val="000000" w:themeColor="text1"/>
          <w:sz w:val="20"/>
          <w:szCs w:val="20"/>
        </w:rPr>
        <w:t>ë</w:t>
      </w:r>
      <w:r w:rsidR="00163842" w:rsidRPr="00B456F4">
        <w:rPr>
          <w:rFonts w:ascii="Cambria" w:eastAsia="Times New Roman" w:hAnsi="Cambria"/>
          <w:i/>
          <w:noProof/>
          <w:color w:val="000000" w:themeColor="text1"/>
          <w:sz w:val="20"/>
          <w:szCs w:val="20"/>
        </w:rPr>
        <w:t xml:space="preserve"> </w:t>
      </w:r>
      <w:r w:rsidR="00F02F54" w:rsidRPr="00B456F4">
        <w:rPr>
          <w:rFonts w:ascii="Cambria" w:eastAsia="Times New Roman" w:hAnsi="Cambria"/>
          <w:i/>
          <w:noProof/>
          <w:color w:val="000000" w:themeColor="text1"/>
          <w:sz w:val="20"/>
          <w:szCs w:val="20"/>
        </w:rPr>
        <w:t>brendshme</w:t>
      </w:r>
      <w:r w:rsidR="00163842" w:rsidRPr="00B456F4">
        <w:rPr>
          <w:rFonts w:ascii="Cambria" w:eastAsia="Times New Roman" w:hAnsi="Cambria"/>
          <w:i/>
          <w:noProof/>
          <w:color w:val="000000" w:themeColor="text1"/>
          <w:sz w:val="20"/>
          <w:szCs w:val="20"/>
        </w:rPr>
        <w:t xml:space="preserve"> n</w:t>
      </w:r>
      <w:r w:rsidR="00E54CB1" w:rsidRPr="00B456F4">
        <w:rPr>
          <w:rFonts w:ascii="Cambria" w:eastAsia="Times New Roman" w:hAnsi="Cambria"/>
          <w:i/>
          <w:noProof/>
          <w:color w:val="000000" w:themeColor="text1"/>
          <w:sz w:val="20"/>
          <w:szCs w:val="20"/>
        </w:rPr>
        <w:t>ë</w:t>
      </w:r>
      <w:r w:rsidR="00163842" w:rsidRPr="00B456F4">
        <w:rPr>
          <w:rFonts w:ascii="Cambria" w:eastAsia="Times New Roman" w:hAnsi="Cambria"/>
          <w:i/>
          <w:noProof/>
          <w:color w:val="000000" w:themeColor="text1"/>
          <w:sz w:val="20"/>
          <w:szCs w:val="20"/>
        </w:rPr>
        <w:t xml:space="preserve"> terma neto dhe bruto</w:t>
      </w:r>
      <w:r w:rsidR="00F02F54" w:rsidRPr="00B456F4">
        <w:rPr>
          <w:rFonts w:ascii="Cambria" w:eastAsia="Times New Roman" w:hAnsi="Cambria"/>
          <w:i/>
          <w:noProof/>
          <w:color w:val="000000" w:themeColor="text1"/>
          <w:sz w:val="20"/>
          <w:szCs w:val="20"/>
        </w:rPr>
        <w:t xml:space="preserve"> </w:t>
      </w:r>
      <w:r w:rsidR="00B94B12" w:rsidRPr="00B456F4">
        <w:rPr>
          <w:rFonts w:ascii="Cambria" w:eastAsia="Times New Roman" w:hAnsi="Cambria"/>
          <w:i/>
          <w:noProof/>
          <w:color w:val="000000" w:themeColor="text1"/>
          <w:sz w:val="20"/>
          <w:szCs w:val="20"/>
        </w:rPr>
        <w:t>(</w:t>
      </w:r>
      <w:r w:rsidR="00C76B98">
        <w:rPr>
          <w:rFonts w:ascii="Cambria" w:eastAsia="Times New Roman" w:hAnsi="Cambria"/>
          <w:i/>
          <w:noProof/>
          <w:color w:val="000000" w:themeColor="text1"/>
          <w:sz w:val="20"/>
          <w:szCs w:val="20"/>
        </w:rPr>
        <w:t>Janar-</w:t>
      </w:r>
      <w:r w:rsidR="003506A7">
        <w:rPr>
          <w:rFonts w:ascii="Cambria" w:eastAsia="Times New Roman" w:hAnsi="Cambria"/>
          <w:i/>
          <w:noProof/>
          <w:color w:val="000000" w:themeColor="text1"/>
          <w:sz w:val="20"/>
          <w:szCs w:val="20"/>
        </w:rPr>
        <w:t xml:space="preserve">Dhjetor </w:t>
      </w:r>
      <w:r w:rsidR="00B94B12" w:rsidRPr="00B456F4">
        <w:rPr>
          <w:rFonts w:ascii="Cambria" w:eastAsia="Times New Roman" w:hAnsi="Cambria"/>
          <w:i/>
          <w:noProof/>
          <w:color w:val="000000" w:themeColor="text1"/>
          <w:sz w:val="20"/>
          <w:szCs w:val="20"/>
        </w:rPr>
        <w:t>202</w:t>
      </w:r>
      <w:r w:rsidR="001B2739" w:rsidRPr="00B456F4">
        <w:rPr>
          <w:rFonts w:ascii="Cambria" w:eastAsia="Times New Roman" w:hAnsi="Cambria"/>
          <w:i/>
          <w:noProof/>
          <w:color w:val="000000" w:themeColor="text1"/>
          <w:sz w:val="20"/>
          <w:szCs w:val="20"/>
        </w:rPr>
        <w:t>2</w:t>
      </w:r>
      <w:r w:rsidR="00B94B12" w:rsidRPr="00B456F4">
        <w:rPr>
          <w:rFonts w:ascii="Cambria" w:eastAsia="Times New Roman" w:hAnsi="Cambria"/>
          <w:i/>
          <w:noProof/>
          <w:color w:val="000000" w:themeColor="text1"/>
          <w:sz w:val="20"/>
          <w:szCs w:val="20"/>
        </w:rPr>
        <w:t>)</w:t>
      </w:r>
      <w:r w:rsidR="00EA1BD7">
        <w:rPr>
          <w:rFonts w:ascii="Times New Roman" w:eastAsia="Times New Roman" w:hAnsi="Times New Roman" w:cs="Times New Roman"/>
          <w:i/>
          <w:noProof/>
          <w:color w:val="000000" w:themeColor="text1"/>
        </w:rPr>
        <w:t xml:space="preserve">                          </w:t>
      </w:r>
    </w:p>
    <w:tbl>
      <w:tblPr>
        <w:tblW w:w="9306" w:type="dxa"/>
        <w:tblLook w:val="04A0" w:firstRow="1" w:lastRow="0" w:firstColumn="1" w:lastColumn="0" w:noHBand="0" w:noVBand="1"/>
      </w:tblPr>
      <w:tblGrid>
        <w:gridCol w:w="4015"/>
        <w:gridCol w:w="1678"/>
        <w:gridCol w:w="1622"/>
        <w:gridCol w:w="1991"/>
      </w:tblGrid>
      <w:tr w:rsidR="00463687" w:rsidRPr="00463687" w14:paraId="4E40969F" w14:textId="77777777" w:rsidTr="006D6418">
        <w:trPr>
          <w:trHeight w:val="221"/>
        </w:trPr>
        <w:tc>
          <w:tcPr>
            <w:tcW w:w="4015" w:type="dxa"/>
            <w:vMerge w:val="restart"/>
            <w:tcBorders>
              <w:top w:val="nil"/>
              <w:left w:val="nil"/>
              <w:bottom w:val="single" w:sz="8" w:space="0" w:color="FFFFFF"/>
              <w:right w:val="single" w:sz="8" w:space="0" w:color="FFFFFF"/>
            </w:tcBorders>
            <w:shd w:val="clear" w:color="000000" w:fill="B8CCE4"/>
            <w:noWrap/>
            <w:vAlign w:val="center"/>
            <w:hideMark/>
          </w:tcPr>
          <w:p w14:paraId="0D1D3573"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Lloji</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i</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Titullit</w:t>
            </w:r>
            <w:proofErr w:type="spellEnd"/>
          </w:p>
        </w:tc>
        <w:tc>
          <w:tcPr>
            <w:tcW w:w="5291" w:type="dxa"/>
            <w:gridSpan w:val="3"/>
            <w:tcBorders>
              <w:top w:val="nil"/>
              <w:left w:val="nil"/>
              <w:bottom w:val="single" w:sz="8" w:space="0" w:color="FFFFFF"/>
              <w:right w:val="nil"/>
            </w:tcBorders>
            <w:shd w:val="clear" w:color="000000" w:fill="B8CCE4"/>
            <w:noWrap/>
            <w:vAlign w:val="center"/>
            <w:hideMark/>
          </w:tcPr>
          <w:p w14:paraId="34983546"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2022</w:t>
            </w:r>
          </w:p>
        </w:tc>
      </w:tr>
      <w:tr w:rsidR="00463687" w:rsidRPr="00463687" w14:paraId="0A1D98B0" w14:textId="77777777" w:rsidTr="006D6418">
        <w:trPr>
          <w:trHeight w:val="822"/>
        </w:trPr>
        <w:tc>
          <w:tcPr>
            <w:tcW w:w="4015" w:type="dxa"/>
            <w:vMerge/>
            <w:tcBorders>
              <w:top w:val="nil"/>
              <w:left w:val="nil"/>
              <w:bottom w:val="single" w:sz="8" w:space="0" w:color="FFFFFF"/>
              <w:right w:val="single" w:sz="8" w:space="0" w:color="FFFFFF"/>
            </w:tcBorders>
            <w:vAlign w:val="center"/>
            <w:hideMark/>
          </w:tcPr>
          <w:p w14:paraId="1EDF2396" w14:textId="77777777" w:rsidR="00463687" w:rsidRPr="00463687" w:rsidRDefault="00463687" w:rsidP="00463687">
            <w:pPr>
              <w:spacing w:after="0" w:line="240" w:lineRule="auto"/>
              <w:rPr>
                <w:rFonts w:ascii="Cambria" w:eastAsia="Times New Roman" w:hAnsi="Cambria" w:cs="Calibri"/>
                <w:b/>
                <w:bCs/>
                <w:sz w:val="20"/>
                <w:szCs w:val="20"/>
                <w:lang w:val="en-US"/>
              </w:rPr>
            </w:pPr>
          </w:p>
        </w:tc>
        <w:tc>
          <w:tcPr>
            <w:tcW w:w="1678" w:type="dxa"/>
            <w:tcBorders>
              <w:top w:val="single" w:sz="8" w:space="0" w:color="FFFFFF"/>
              <w:left w:val="nil"/>
              <w:bottom w:val="single" w:sz="8" w:space="0" w:color="FFFFFF"/>
              <w:right w:val="nil"/>
            </w:tcBorders>
            <w:shd w:val="clear" w:color="000000" w:fill="B8CCE4"/>
            <w:vAlign w:val="center"/>
            <w:hideMark/>
          </w:tcPr>
          <w:p w14:paraId="7164F274"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Emetim</w:t>
            </w:r>
            <w:proofErr w:type="spellEnd"/>
            <w:r w:rsidRPr="00463687">
              <w:rPr>
                <w:rFonts w:ascii="Cambria" w:eastAsia="Times New Roman" w:hAnsi="Cambria" w:cs="Calibri"/>
                <w:b/>
                <w:bCs/>
                <w:sz w:val="20"/>
                <w:szCs w:val="20"/>
                <w:lang w:val="en-US"/>
              </w:rPr>
              <w:t xml:space="preserve">                                          </w:t>
            </w:r>
            <w:r w:rsidRPr="00463687">
              <w:rPr>
                <w:rFonts w:ascii="Cambria" w:eastAsia="Times New Roman" w:hAnsi="Cambria" w:cs="Calibri"/>
                <w:i/>
                <w:iCs/>
                <w:sz w:val="20"/>
                <w:szCs w:val="20"/>
                <w:lang w:val="en-US"/>
              </w:rPr>
              <w:t>(</w:t>
            </w:r>
            <w:proofErr w:type="spellStart"/>
            <w:r w:rsidRPr="00463687">
              <w:rPr>
                <w:rFonts w:ascii="Cambria" w:eastAsia="Times New Roman" w:hAnsi="Cambria" w:cs="Calibri"/>
                <w:i/>
                <w:iCs/>
                <w:sz w:val="20"/>
                <w:szCs w:val="20"/>
                <w:lang w:val="en-US"/>
              </w:rPr>
              <w:t>në</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mld</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Lekë</w:t>
            </w:r>
            <w:proofErr w:type="spellEnd"/>
            <w:r w:rsidRPr="00463687">
              <w:rPr>
                <w:rFonts w:ascii="Cambria" w:eastAsia="Times New Roman" w:hAnsi="Cambria" w:cs="Calibri"/>
                <w:i/>
                <w:iCs/>
                <w:sz w:val="20"/>
                <w:szCs w:val="20"/>
                <w:lang w:val="en-US"/>
              </w:rPr>
              <w:t>)</w:t>
            </w:r>
          </w:p>
        </w:tc>
        <w:tc>
          <w:tcPr>
            <w:tcW w:w="1622" w:type="dxa"/>
            <w:tcBorders>
              <w:top w:val="single" w:sz="8" w:space="0" w:color="FFFFFF"/>
              <w:left w:val="single" w:sz="8" w:space="0" w:color="FFFFFF"/>
              <w:bottom w:val="single" w:sz="8" w:space="0" w:color="FFFFFF"/>
              <w:right w:val="nil"/>
            </w:tcBorders>
            <w:shd w:val="clear" w:color="000000" w:fill="B8CCE4"/>
            <w:vAlign w:val="center"/>
            <w:hideMark/>
          </w:tcPr>
          <w:p w14:paraId="48B6387D"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Maturim</w:t>
            </w:r>
            <w:proofErr w:type="spellEnd"/>
            <w:r w:rsidRPr="00463687">
              <w:rPr>
                <w:rFonts w:ascii="Cambria" w:eastAsia="Times New Roman" w:hAnsi="Cambria" w:cs="Calibri"/>
                <w:b/>
                <w:bCs/>
                <w:sz w:val="20"/>
                <w:szCs w:val="20"/>
                <w:lang w:val="en-US"/>
              </w:rPr>
              <w:t xml:space="preserve">                                        </w:t>
            </w:r>
            <w:r w:rsidRPr="00463687">
              <w:rPr>
                <w:rFonts w:ascii="Cambria" w:eastAsia="Times New Roman" w:hAnsi="Cambria" w:cs="Calibri"/>
                <w:i/>
                <w:iCs/>
                <w:sz w:val="20"/>
                <w:szCs w:val="20"/>
                <w:lang w:val="en-US"/>
              </w:rPr>
              <w:t>(</w:t>
            </w:r>
            <w:proofErr w:type="spellStart"/>
            <w:r w:rsidRPr="00463687">
              <w:rPr>
                <w:rFonts w:ascii="Cambria" w:eastAsia="Times New Roman" w:hAnsi="Cambria" w:cs="Calibri"/>
                <w:i/>
                <w:iCs/>
                <w:sz w:val="20"/>
                <w:szCs w:val="20"/>
                <w:lang w:val="en-US"/>
              </w:rPr>
              <w:t>në</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mld</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Lekë</w:t>
            </w:r>
            <w:proofErr w:type="spellEnd"/>
            <w:r w:rsidRPr="00463687">
              <w:rPr>
                <w:rFonts w:ascii="Cambria" w:eastAsia="Times New Roman" w:hAnsi="Cambria" w:cs="Calibri"/>
                <w:i/>
                <w:iCs/>
                <w:sz w:val="20"/>
                <w:szCs w:val="20"/>
                <w:lang w:val="en-US"/>
              </w:rPr>
              <w:t>)</w:t>
            </w:r>
          </w:p>
        </w:tc>
        <w:tc>
          <w:tcPr>
            <w:tcW w:w="1990" w:type="dxa"/>
            <w:tcBorders>
              <w:top w:val="single" w:sz="8" w:space="0" w:color="FFFFFF"/>
              <w:left w:val="single" w:sz="8" w:space="0" w:color="FFFFFF"/>
              <w:bottom w:val="single" w:sz="8" w:space="0" w:color="FFFFFF"/>
              <w:right w:val="single" w:sz="8" w:space="0" w:color="FFFFFF"/>
            </w:tcBorders>
            <w:shd w:val="clear" w:color="000000" w:fill="B8CCE4"/>
            <w:vAlign w:val="center"/>
            <w:hideMark/>
          </w:tcPr>
          <w:p w14:paraId="11A1E011"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Huamarrja</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Neto</w:t>
            </w:r>
            <w:proofErr w:type="spellEnd"/>
            <w:r w:rsidRPr="00463687">
              <w:rPr>
                <w:rFonts w:ascii="Cambria" w:eastAsia="Times New Roman" w:hAnsi="Cambria" w:cs="Calibri"/>
                <w:b/>
                <w:bCs/>
                <w:sz w:val="20"/>
                <w:szCs w:val="20"/>
                <w:lang w:val="en-US"/>
              </w:rPr>
              <w:t xml:space="preserve">                                       </w:t>
            </w:r>
            <w:r w:rsidRPr="00463687">
              <w:rPr>
                <w:rFonts w:ascii="Cambria" w:eastAsia="Times New Roman" w:hAnsi="Cambria" w:cs="Calibri"/>
                <w:i/>
                <w:iCs/>
                <w:sz w:val="20"/>
                <w:szCs w:val="20"/>
                <w:lang w:val="en-US"/>
              </w:rPr>
              <w:t>(</w:t>
            </w:r>
            <w:proofErr w:type="spellStart"/>
            <w:r w:rsidRPr="00463687">
              <w:rPr>
                <w:rFonts w:ascii="Cambria" w:eastAsia="Times New Roman" w:hAnsi="Cambria" w:cs="Calibri"/>
                <w:i/>
                <w:iCs/>
                <w:sz w:val="20"/>
                <w:szCs w:val="20"/>
                <w:lang w:val="en-US"/>
              </w:rPr>
              <w:t>në</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mld</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Lekë</w:t>
            </w:r>
            <w:proofErr w:type="spellEnd"/>
            <w:r w:rsidRPr="00463687">
              <w:rPr>
                <w:rFonts w:ascii="Cambria" w:eastAsia="Times New Roman" w:hAnsi="Cambria" w:cs="Calibri"/>
                <w:i/>
                <w:iCs/>
                <w:sz w:val="20"/>
                <w:szCs w:val="20"/>
                <w:lang w:val="en-US"/>
              </w:rPr>
              <w:t>)</w:t>
            </w:r>
          </w:p>
        </w:tc>
      </w:tr>
      <w:tr w:rsidR="00463687" w:rsidRPr="00463687" w14:paraId="1965F82F"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2C77475E" w14:textId="77777777" w:rsidR="00463687" w:rsidRPr="00463687" w:rsidRDefault="00463687" w:rsidP="00463687">
            <w:pPr>
              <w:spacing w:after="0" w:line="240" w:lineRule="auto"/>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Tituj</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Afatshkurtër</w:t>
            </w:r>
            <w:proofErr w:type="spellEnd"/>
          </w:p>
        </w:tc>
        <w:tc>
          <w:tcPr>
            <w:tcW w:w="1678" w:type="dxa"/>
            <w:tcBorders>
              <w:top w:val="nil"/>
              <w:left w:val="nil"/>
              <w:bottom w:val="nil"/>
              <w:right w:val="nil"/>
            </w:tcBorders>
            <w:shd w:val="clear" w:color="000000" w:fill="FFFFFF"/>
            <w:noWrap/>
            <w:vAlign w:val="bottom"/>
            <w:hideMark/>
          </w:tcPr>
          <w:p w14:paraId="76F9BA29"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245.5</w:t>
            </w:r>
          </w:p>
        </w:tc>
        <w:tc>
          <w:tcPr>
            <w:tcW w:w="1622" w:type="dxa"/>
            <w:tcBorders>
              <w:top w:val="nil"/>
              <w:left w:val="nil"/>
              <w:bottom w:val="nil"/>
              <w:right w:val="nil"/>
            </w:tcBorders>
            <w:shd w:val="clear" w:color="000000" w:fill="FFFFFF"/>
            <w:noWrap/>
            <w:vAlign w:val="bottom"/>
            <w:hideMark/>
          </w:tcPr>
          <w:p w14:paraId="6567AF01"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213.2</w:t>
            </w:r>
          </w:p>
        </w:tc>
        <w:tc>
          <w:tcPr>
            <w:tcW w:w="1990" w:type="dxa"/>
            <w:tcBorders>
              <w:top w:val="nil"/>
              <w:left w:val="nil"/>
              <w:bottom w:val="nil"/>
              <w:right w:val="nil"/>
            </w:tcBorders>
            <w:shd w:val="clear" w:color="000000" w:fill="FFFFFF"/>
            <w:noWrap/>
            <w:vAlign w:val="bottom"/>
            <w:hideMark/>
          </w:tcPr>
          <w:p w14:paraId="55B199CC"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32.4</w:t>
            </w:r>
          </w:p>
        </w:tc>
      </w:tr>
      <w:tr w:rsidR="00463687" w:rsidRPr="00463687" w14:paraId="0AEAB5EB"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77EEEB14"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Bono </w:t>
            </w:r>
            <w:proofErr w:type="spellStart"/>
            <w:r w:rsidRPr="00463687">
              <w:rPr>
                <w:rFonts w:ascii="Cambria" w:eastAsia="Times New Roman" w:hAnsi="Cambria" w:cs="Calibri"/>
                <w:color w:val="000000"/>
                <w:sz w:val="20"/>
                <w:szCs w:val="20"/>
                <w:lang w:val="en-US"/>
              </w:rPr>
              <w:t>Thesari</w:t>
            </w:r>
            <w:proofErr w:type="spellEnd"/>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në</w:t>
            </w:r>
            <w:proofErr w:type="spellEnd"/>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Lekë</w:t>
            </w:r>
            <w:proofErr w:type="spellEnd"/>
          </w:p>
        </w:tc>
        <w:tc>
          <w:tcPr>
            <w:tcW w:w="1678" w:type="dxa"/>
            <w:tcBorders>
              <w:top w:val="nil"/>
              <w:left w:val="nil"/>
              <w:bottom w:val="nil"/>
              <w:right w:val="nil"/>
            </w:tcBorders>
            <w:shd w:val="clear" w:color="000000" w:fill="FFFFFF"/>
            <w:noWrap/>
            <w:vAlign w:val="bottom"/>
            <w:hideMark/>
          </w:tcPr>
          <w:p w14:paraId="23BD4D76"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245.5</w:t>
            </w:r>
          </w:p>
        </w:tc>
        <w:tc>
          <w:tcPr>
            <w:tcW w:w="1622" w:type="dxa"/>
            <w:tcBorders>
              <w:top w:val="nil"/>
              <w:left w:val="nil"/>
              <w:bottom w:val="nil"/>
              <w:right w:val="nil"/>
            </w:tcBorders>
            <w:shd w:val="clear" w:color="000000" w:fill="FFFFFF"/>
            <w:noWrap/>
            <w:vAlign w:val="bottom"/>
            <w:hideMark/>
          </w:tcPr>
          <w:p w14:paraId="305170A0"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213.2</w:t>
            </w:r>
          </w:p>
        </w:tc>
        <w:tc>
          <w:tcPr>
            <w:tcW w:w="1990" w:type="dxa"/>
            <w:tcBorders>
              <w:top w:val="nil"/>
              <w:left w:val="nil"/>
              <w:bottom w:val="nil"/>
              <w:right w:val="nil"/>
            </w:tcBorders>
            <w:shd w:val="clear" w:color="000000" w:fill="FFFFFF"/>
            <w:noWrap/>
            <w:vAlign w:val="bottom"/>
            <w:hideMark/>
          </w:tcPr>
          <w:p w14:paraId="3F5A6BEA"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32.4</w:t>
            </w:r>
          </w:p>
        </w:tc>
      </w:tr>
      <w:tr w:rsidR="00463687" w:rsidRPr="00463687" w14:paraId="75366986"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6951BDE7" w14:textId="77777777" w:rsidR="00463687" w:rsidRPr="00463687" w:rsidRDefault="00463687" w:rsidP="00463687">
            <w:pPr>
              <w:spacing w:after="0" w:line="240" w:lineRule="auto"/>
              <w:rPr>
                <w:rFonts w:ascii="Cambria" w:eastAsia="Times New Roman" w:hAnsi="Cambria" w:cs="Calibri"/>
                <w:b/>
                <w:bCs/>
                <w:color w:val="000000"/>
                <w:sz w:val="20"/>
                <w:szCs w:val="20"/>
                <w:lang w:val="en-US"/>
              </w:rPr>
            </w:pPr>
            <w:proofErr w:type="spellStart"/>
            <w:r w:rsidRPr="00463687">
              <w:rPr>
                <w:rFonts w:ascii="Cambria" w:eastAsia="Times New Roman" w:hAnsi="Cambria" w:cs="Calibri"/>
                <w:b/>
                <w:bCs/>
                <w:color w:val="000000"/>
                <w:sz w:val="20"/>
                <w:szCs w:val="20"/>
                <w:lang w:val="en-US"/>
              </w:rPr>
              <w:t>Tituj</w:t>
            </w:r>
            <w:proofErr w:type="spellEnd"/>
            <w:r w:rsidRPr="00463687">
              <w:rPr>
                <w:rFonts w:ascii="Cambria" w:eastAsia="Times New Roman" w:hAnsi="Cambria" w:cs="Calibri"/>
                <w:b/>
                <w:bCs/>
                <w:color w:val="000000"/>
                <w:sz w:val="20"/>
                <w:szCs w:val="20"/>
                <w:lang w:val="en-US"/>
              </w:rPr>
              <w:t xml:space="preserve"> </w:t>
            </w:r>
            <w:proofErr w:type="spellStart"/>
            <w:r w:rsidRPr="00463687">
              <w:rPr>
                <w:rFonts w:ascii="Cambria" w:eastAsia="Times New Roman" w:hAnsi="Cambria" w:cs="Calibri"/>
                <w:b/>
                <w:bCs/>
                <w:color w:val="000000"/>
                <w:sz w:val="20"/>
                <w:szCs w:val="20"/>
                <w:lang w:val="en-US"/>
              </w:rPr>
              <w:t>Afatgjatë</w:t>
            </w:r>
            <w:proofErr w:type="spellEnd"/>
          </w:p>
        </w:tc>
        <w:tc>
          <w:tcPr>
            <w:tcW w:w="1678" w:type="dxa"/>
            <w:tcBorders>
              <w:top w:val="nil"/>
              <w:left w:val="nil"/>
              <w:bottom w:val="nil"/>
              <w:right w:val="nil"/>
            </w:tcBorders>
            <w:shd w:val="clear" w:color="000000" w:fill="FFFFFF"/>
            <w:noWrap/>
            <w:vAlign w:val="bottom"/>
            <w:hideMark/>
          </w:tcPr>
          <w:p w14:paraId="7FEF3655" w14:textId="7777777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112.3</w:t>
            </w:r>
          </w:p>
        </w:tc>
        <w:tc>
          <w:tcPr>
            <w:tcW w:w="1622" w:type="dxa"/>
            <w:tcBorders>
              <w:top w:val="nil"/>
              <w:left w:val="nil"/>
              <w:bottom w:val="nil"/>
              <w:right w:val="nil"/>
            </w:tcBorders>
            <w:shd w:val="clear" w:color="000000" w:fill="FFFFFF"/>
            <w:noWrap/>
            <w:vAlign w:val="bottom"/>
            <w:hideMark/>
          </w:tcPr>
          <w:p w14:paraId="17045EE8" w14:textId="7777777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118.4</w:t>
            </w:r>
          </w:p>
        </w:tc>
        <w:tc>
          <w:tcPr>
            <w:tcW w:w="1990" w:type="dxa"/>
            <w:tcBorders>
              <w:top w:val="nil"/>
              <w:left w:val="nil"/>
              <w:bottom w:val="nil"/>
              <w:right w:val="nil"/>
            </w:tcBorders>
            <w:shd w:val="clear" w:color="000000" w:fill="FFFFFF"/>
            <w:noWrap/>
            <w:vAlign w:val="bottom"/>
            <w:hideMark/>
          </w:tcPr>
          <w:p w14:paraId="1DB99FDB"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-6.0</w:t>
            </w:r>
          </w:p>
        </w:tc>
      </w:tr>
      <w:tr w:rsidR="00463687" w:rsidRPr="00463687" w14:paraId="6A7C64B7"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437B3922"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2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nil"/>
              <w:right w:val="nil"/>
            </w:tcBorders>
            <w:shd w:val="clear" w:color="000000" w:fill="FFFFFF"/>
            <w:noWrap/>
            <w:vAlign w:val="bottom"/>
            <w:hideMark/>
          </w:tcPr>
          <w:p w14:paraId="694BA624"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42.3</w:t>
            </w:r>
          </w:p>
        </w:tc>
        <w:tc>
          <w:tcPr>
            <w:tcW w:w="1622" w:type="dxa"/>
            <w:tcBorders>
              <w:top w:val="nil"/>
              <w:left w:val="nil"/>
              <w:bottom w:val="nil"/>
              <w:right w:val="nil"/>
            </w:tcBorders>
            <w:shd w:val="clear" w:color="000000" w:fill="FFFFFF"/>
            <w:noWrap/>
            <w:vAlign w:val="bottom"/>
            <w:hideMark/>
          </w:tcPr>
          <w:p w14:paraId="16319649"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44.2</w:t>
            </w:r>
          </w:p>
        </w:tc>
        <w:tc>
          <w:tcPr>
            <w:tcW w:w="1990" w:type="dxa"/>
            <w:tcBorders>
              <w:top w:val="nil"/>
              <w:left w:val="nil"/>
              <w:bottom w:val="nil"/>
              <w:right w:val="nil"/>
            </w:tcBorders>
            <w:shd w:val="clear" w:color="000000" w:fill="FFFFFF"/>
            <w:noWrap/>
            <w:vAlign w:val="bottom"/>
            <w:hideMark/>
          </w:tcPr>
          <w:p w14:paraId="075F34E2"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-1.9</w:t>
            </w:r>
          </w:p>
        </w:tc>
      </w:tr>
      <w:tr w:rsidR="00463687" w:rsidRPr="00463687" w14:paraId="35A4B112"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4130BD89"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2 </w:t>
            </w:r>
            <w:proofErr w:type="spellStart"/>
            <w:r w:rsidRPr="00463687">
              <w:rPr>
                <w:rFonts w:ascii="Cambria" w:eastAsia="Times New Roman" w:hAnsi="Cambria" w:cs="Calibri"/>
                <w:color w:val="000000"/>
                <w:sz w:val="20"/>
                <w:szCs w:val="20"/>
                <w:lang w:val="en-US"/>
              </w:rPr>
              <w:t>vjeçare</w:t>
            </w:r>
            <w:proofErr w:type="spellEnd"/>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në</w:t>
            </w:r>
            <w:proofErr w:type="spellEnd"/>
            <w:r w:rsidRPr="00463687">
              <w:rPr>
                <w:rFonts w:ascii="Cambria" w:eastAsia="Times New Roman" w:hAnsi="Cambria" w:cs="Calibri"/>
                <w:color w:val="000000"/>
                <w:sz w:val="20"/>
                <w:szCs w:val="20"/>
                <w:lang w:val="en-US"/>
              </w:rPr>
              <w:t xml:space="preserve"> Euro</w:t>
            </w:r>
          </w:p>
        </w:tc>
        <w:tc>
          <w:tcPr>
            <w:tcW w:w="1678" w:type="dxa"/>
            <w:tcBorders>
              <w:top w:val="nil"/>
              <w:left w:val="nil"/>
              <w:bottom w:val="nil"/>
              <w:right w:val="nil"/>
            </w:tcBorders>
            <w:shd w:val="clear" w:color="000000" w:fill="FFFFFF"/>
            <w:noWrap/>
            <w:vAlign w:val="bottom"/>
            <w:hideMark/>
          </w:tcPr>
          <w:p w14:paraId="05E410AE"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8.4</w:t>
            </w:r>
          </w:p>
        </w:tc>
        <w:tc>
          <w:tcPr>
            <w:tcW w:w="1622" w:type="dxa"/>
            <w:tcBorders>
              <w:top w:val="nil"/>
              <w:left w:val="nil"/>
              <w:bottom w:val="nil"/>
              <w:right w:val="nil"/>
            </w:tcBorders>
            <w:shd w:val="clear" w:color="000000" w:fill="FFFFFF"/>
            <w:noWrap/>
            <w:vAlign w:val="bottom"/>
            <w:hideMark/>
          </w:tcPr>
          <w:p w14:paraId="1960A9DF"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12.1</w:t>
            </w:r>
          </w:p>
        </w:tc>
        <w:tc>
          <w:tcPr>
            <w:tcW w:w="1990" w:type="dxa"/>
            <w:tcBorders>
              <w:top w:val="nil"/>
              <w:left w:val="nil"/>
              <w:bottom w:val="nil"/>
              <w:right w:val="nil"/>
            </w:tcBorders>
            <w:shd w:val="clear" w:color="000000" w:fill="FFFFFF"/>
            <w:noWrap/>
            <w:vAlign w:val="bottom"/>
            <w:hideMark/>
          </w:tcPr>
          <w:p w14:paraId="2C618E81"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-3.8</w:t>
            </w:r>
          </w:p>
        </w:tc>
      </w:tr>
      <w:tr w:rsidR="00463687" w:rsidRPr="00463687" w14:paraId="5509C628"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0A29E0F3"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3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nil"/>
              <w:right w:val="nil"/>
            </w:tcBorders>
            <w:shd w:val="clear" w:color="000000" w:fill="FFFFFF"/>
            <w:noWrap/>
            <w:vAlign w:val="bottom"/>
            <w:hideMark/>
          </w:tcPr>
          <w:p w14:paraId="03A782DA"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19.3</w:t>
            </w:r>
          </w:p>
        </w:tc>
        <w:tc>
          <w:tcPr>
            <w:tcW w:w="1622" w:type="dxa"/>
            <w:tcBorders>
              <w:top w:val="nil"/>
              <w:left w:val="nil"/>
              <w:bottom w:val="nil"/>
              <w:right w:val="nil"/>
            </w:tcBorders>
            <w:shd w:val="clear" w:color="000000" w:fill="FFFFFF"/>
            <w:noWrap/>
            <w:vAlign w:val="bottom"/>
            <w:hideMark/>
          </w:tcPr>
          <w:p w14:paraId="4C539DFE"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22.2</w:t>
            </w:r>
          </w:p>
        </w:tc>
        <w:tc>
          <w:tcPr>
            <w:tcW w:w="1990" w:type="dxa"/>
            <w:tcBorders>
              <w:top w:val="nil"/>
              <w:left w:val="nil"/>
              <w:bottom w:val="nil"/>
              <w:right w:val="nil"/>
            </w:tcBorders>
            <w:shd w:val="clear" w:color="000000" w:fill="FFFFFF"/>
            <w:noWrap/>
            <w:vAlign w:val="bottom"/>
            <w:hideMark/>
          </w:tcPr>
          <w:p w14:paraId="3EE0E6F9"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-2.9</w:t>
            </w:r>
          </w:p>
        </w:tc>
      </w:tr>
      <w:tr w:rsidR="00463687" w:rsidRPr="00463687" w14:paraId="78D170C8"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7303D55A"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5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nil"/>
              <w:right w:val="nil"/>
            </w:tcBorders>
            <w:shd w:val="clear" w:color="000000" w:fill="FFFFFF"/>
            <w:noWrap/>
            <w:vAlign w:val="bottom"/>
            <w:hideMark/>
          </w:tcPr>
          <w:p w14:paraId="751CE251"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15.1</w:t>
            </w:r>
          </w:p>
        </w:tc>
        <w:tc>
          <w:tcPr>
            <w:tcW w:w="1622" w:type="dxa"/>
            <w:tcBorders>
              <w:top w:val="nil"/>
              <w:left w:val="nil"/>
              <w:bottom w:val="nil"/>
              <w:right w:val="nil"/>
            </w:tcBorders>
            <w:shd w:val="clear" w:color="000000" w:fill="FFFFFF"/>
            <w:noWrap/>
            <w:vAlign w:val="bottom"/>
            <w:hideMark/>
          </w:tcPr>
          <w:p w14:paraId="70232ABE"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28.4</w:t>
            </w:r>
          </w:p>
        </w:tc>
        <w:tc>
          <w:tcPr>
            <w:tcW w:w="1990" w:type="dxa"/>
            <w:tcBorders>
              <w:top w:val="nil"/>
              <w:left w:val="nil"/>
              <w:bottom w:val="nil"/>
              <w:right w:val="nil"/>
            </w:tcBorders>
            <w:shd w:val="clear" w:color="000000" w:fill="FFFFFF"/>
            <w:noWrap/>
            <w:vAlign w:val="bottom"/>
            <w:hideMark/>
          </w:tcPr>
          <w:p w14:paraId="102BBBD4"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-13.4</w:t>
            </w:r>
          </w:p>
        </w:tc>
      </w:tr>
      <w:tr w:rsidR="00463687" w:rsidRPr="00463687" w14:paraId="6CFE5574"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15E08E69"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7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nil"/>
              <w:right w:val="nil"/>
            </w:tcBorders>
            <w:shd w:val="clear" w:color="000000" w:fill="FFFFFF"/>
            <w:noWrap/>
            <w:vAlign w:val="bottom"/>
            <w:hideMark/>
          </w:tcPr>
          <w:p w14:paraId="62C41F65"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12.3</w:t>
            </w:r>
          </w:p>
        </w:tc>
        <w:tc>
          <w:tcPr>
            <w:tcW w:w="1622" w:type="dxa"/>
            <w:tcBorders>
              <w:top w:val="nil"/>
              <w:left w:val="nil"/>
              <w:bottom w:val="nil"/>
              <w:right w:val="nil"/>
            </w:tcBorders>
            <w:shd w:val="clear" w:color="000000" w:fill="FFFFFF"/>
            <w:noWrap/>
            <w:vAlign w:val="bottom"/>
            <w:hideMark/>
          </w:tcPr>
          <w:p w14:paraId="18F549F3"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11.4</w:t>
            </w:r>
          </w:p>
        </w:tc>
        <w:tc>
          <w:tcPr>
            <w:tcW w:w="1990" w:type="dxa"/>
            <w:tcBorders>
              <w:top w:val="nil"/>
              <w:left w:val="nil"/>
              <w:bottom w:val="nil"/>
              <w:right w:val="nil"/>
            </w:tcBorders>
            <w:shd w:val="clear" w:color="000000" w:fill="FFFFFF"/>
            <w:noWrap/>
            <w:vAlign w:val="bottom"/>
            <w:hideMark/>
          </w:tcPr>
          <w:p w14:paraId="1522A41B"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0.9</w:t>
            </w:r>
          </w:p>
        </w:tc>
      </w:tr>
      <w:tr w:rsidR="00463687" w:rsidRPr="00463687" w14:paraId="53BEF9F7" w14:textId="77777777" w:rsidTr="006D6418">
        <w:trPr>
          <w:trHeight w:val="210"/>
        </w:trPr>
        <w:tc>
          <w:tcPr>
            <w:tcW w:w="4015" w:type="dxa"/>
            <w:tcBorders>
              <w:top w:val="nil"/>
              <w:left w:val="nil"/>
              <w:bottom w:val="nil"/>
              <w:right w:val="single" w:sz="8" w:space="0" w:color="FFFFFF"/>
            </w:tcBorders>
            <w:shd w:val="clear" w:color="000000" w:fill="FFFFFF"/>
            <w:noWrap/>
            <w:vAlign w:val="bottom"/>
            <w:hideMark/>
          </w:tcPr>
          <w:p w14:paraId="74214570"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10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nil"/>
              <w:right w:val="nil"/>
            </w:tcBorders>
            <w:shd w:val="clear" w:color="000000" w:fill="FFFFFF"/>
            <w:noWrap/>
            <w:vAlign w:val="bottom"/>
            <w:hideMark/>
          </w:tcPr>
          <w:p w14:paraId="3B71D518"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9.9</w:t>
            </w:r>
          </w:p>
        </w:tc>
        <w:tc>
          <w:tcPr>
            <w:tcW w:w="1622" w:type="dxa"/>
            <w:tcBorders>
              <w:top w:val="nil"/>
              <w:left w:val="nil"/>
              <w:bottom w:val="nil"/>
              <w:right w:val="nil"/>
            </w:tcBorders>
            <w:shd w:val="clear" w:color="000000" w:fill="FFFFFF"/>
            <w:noWrap/>
            <w:vAlign w:val="bottom"/>
            <w:hideMark/>
          </w:tcPr>
          <w:p w14:paraId="1908D9DB"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0.0</w:t>
            </w:r>
          </w:p>
        </w:tc>
        <w:tc>
          <w:tcPr>
            <w:tcW w:w="1990" w:type="dxa"/>
            <w:tcBorders>
              <w:top w:val="nil"/>
              <w:left w:val="nil"/>
              <w:bottom w:val="nil"/>
              <w:right w:val="nil"/>
            </w:tcBorders>
            <w:shd w:val="clear" w:color="000000" w:fill="FFFFFF"/>
            <w:noWrap/>
            <w:vAlign w:val="bottom"/>
            <w:hideMark/>
          </w:tcPr>
          <w:p w14:paraId="039A5BC3"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9.9</w:t>
            </w:r>
          </w:p>
        </w:tc>
      </w:tr>
      <w:tr w:rsidR="00463687" w:rsidRPr="00463687" w14:paraId="709D266A" w14:textId="77777777" w:rsidTr="006D6418">
        <w:trPr>
          <w:trHeight w:val="221"/>
        </w:trPr>
        <w:tc>
          <w:tcPr>
            <w:tcW w:w="4015" w:type="dxa"/>
            <w:tcBorders>
              <w:top w:val="nil"/>
              <w:left w:val="nil"/>
              <w:bottom w:val="single" w:sz="8" w:space="0" w:color="auto"/>
              <w:right w:val="single" w:sz="8" w:space="0" w:color="FFFFFF"/>
            </w:tcBorders>
            <w:shd w:val="clear" w:color="000000" w:fill="FFFFFF"/>
            <w:noWrap/>
            <w:vAlign w:val="bottom"/>
            <w:hideMark/>
          </w:tcPr>
          <w:p w14:paraId="6088666C"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Obligacione</w:t>
            </w:r>
            <w:proofErr w:type="spellEnd"/>
            <w:r w:rsidRPr="00463687">
              <w:rPr>
                <w:rFonts w:ascii="Cambria" w:eastAsia="Times New Roman" w:hAnsi="Cambria" w:cs="Calibri"/>
                <w:color w:val="000000"/>
                <w:sz w:val="20"/>
                <w:szCs w:val="20"/>
                <w:lang w:val="en-US"/>
              </w:rPr>
              <w:t xml:space="preserve"> 15 </w:t>
            </w:r>
            <w:proofErr w:type="spellStart"/>
            <w:r w:rsidRPr="00463687">
              <w:rPr>
                <w:rFonts w:ascii="Cambria" w:eastAsia="Times New Roman" w:hAnsi="Cambria" w:cs="Calibri"/>
                <w:color w:val="000000"/>
                <w:sz w:val="20"/>
                <w:szCs w:val="20"/>
                <w:lang w:val="en-US"/>
              </w:rPr>
              <w:t>vjeçare</w:t>
            </w:r>
            <w:proofErr w:type="spellEnd"/>
          </w:p>
        </w:tc>
        <w:tc>
          <w:tcPr>
            <w:tcW w:w="1678" w:type="dxa"/>
            <w:tcBorders>
              <w:top w:val="nil"/>
              <w:left w:val="nil"/>
              <w:bottom w:val="single" w:sz="8" w:space="0" w:color="auto"/>
              <w:right w:val="nil"/>
            </w:tcBorders>
            <w:shd w:val="clear" w:color="000000" w:fill="FFFFFF"/>
            <w:noWrap/>
            <w:vAlign w:val="bottom"/>
            <w:hideMark/>
          </w:tcPr>
          <w:p w14:paraId="6BCE3A70"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5.1</w:t>
            </w:r>
          </w:p>
        </w:tc>
        <w:tc>
          <w:tcPr>
            <w:tcW w:w="1622" w:type="dxa"/>
            <w:tcBorders>
              <w:top w:val="nil"/>
              <w:left w:val="nil"/>
              <w:bottom w:val="single" w:sz="8" w:space="0" w:color="auto"/>
              <w:right w:val="nil"/>
            </w:tcBorders>
            <w:shd w:val="clear" w:color="000000" w:fill="FFFFFF"/>
            <w:noWrap/>
            <w:vAlign w:val="bottom"/>
            <w:hideMark/>
          </w:tcPr>
          <w:p w14:paraId="61A4C888"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0.0</w:t>
            </w:r>
          </w:p>
        </w:tc>
        <w:tc>
          <w:tcPr>
            <w:tcW w:w="1990" w:type="dxa"/>
            <w:tcBorders>
              <w:top w:val="nil"/>
              <w:left w:val="nil"/>
              <w:bottom w:val="single" w:sz="8" w:space="0" w:color="auto"/>
              <w:right w:val="nil"/>
            </w:tcBorders>
            <w:shd w:val="clear" w:color="000000" w:fill="FFFFFF"/>
            <w:noWrap/>
            <w:vAlign w:val="bottom"/>
            <w:hideMark/>
          </w:tcPr>
          <w:p w14:paraId="09ADEE57" w14:textId="77777777" w:rsidR="00463687" w:rsidRPr="00463687" w:rsidRDefault="00463687" w:rsidP="00463687">
            <w:pPr>
              <w:spacing w:after="0" w:line="240" w:lineRule="auto"/>
              <w:jc w:val="right"/>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5.1</w:t>
            </w:r>
          </w:p>
        </w:tc>
      </w:tr>
      <w:tr w:rsidR="00463687" w:rsidRPr="00463687" w14:paraId="5577D076" w14:textId="77777777" w:rsidTr="006D6418">
        <w:trPr>
          <w:trHeight w:val="221"/>
        </w:trPr>
        <w:tc>
          <w:tcPr>
            <w:tcW w:w="4015" w:type="dxa"/>
            <w:tcBorders>
              <w:top w:val="nil"/>
              <w:left w:val="nil"/>
              <w:bottom w:val="single" w:sz="8" w:space="0" w:color="auto"/>
              <w:right w:val="single" w:sz="8" w:space="0" w:color="FFFFFF"/>
            </w:tcBorders>
            <w:shd w:val="clear" w:color="000000" w:fill="FFFFFF"/>
            <w:noWrap/>
            <w:vAlign w:val="bottom"/>
            <w:hideMark/>
          </w:tcPr>
          <w:p w14:paraId="57D7B428" w14:textId="77777777" w:rsidR="00463687" w:rsidRPr="00463687" w:rsidRDefault="00463687" w:rsidP="00463687">
            <w:pPr>
              <w:spacing w:after="0" w:line="240" w:lineRule="auto"/>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Gjithsej</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Tituj</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Shtetërorë</w:t>
            </w:r>
            <w:proofErr w:type="spellEnd"/>
            <w:r w:rsidRPr="00463687">
              <w:rPr>
                <w:rFonts w:ascii="Cambria" w:eastAsia="Times New Roman" w:hAnsi="Cambria" w:cs="Calibri"/>
                <w:b/>
                <w:bCs/>
                <w:sz w:val="20"/>
                <w:szCs w:val="20"/>
                <w:lang w:val="en-US"/>
              </w:rPr>
              <w:t xml:space="preserve"> </w:t>
            </w:r>
          </w:p>
        </w:tc>
        <w:tc>
          <w:tcPr>
            <w:tcW w:w="1678" w:type="dxa"/>
            <w:tcBorders>
              <w:top w:val="nil"/>
              <w:left w:val="nil"/>
              <w:bottom w:val="single" w:sz="8" w:space="0" w:color="auto"/>
              <w:right w:val="nil"/>
            </w:tcBorders>
            <w:shd w:val="clear" w:color="000000" w:fill="FFFFFF"/>
            <w:noWrap/>
            <w:vAlign w:val="bottom"/>
            <w:hideMark/>
          </w:tcPr>
          <w:p w14:paraId="092741EB"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357.9</w:t>
            </w:r>
          </w:p>
        </w:tc>
        <w:tc>
          <w:tcPr>
            <w:tcW w:w="1622" w:type="dxa"/>
            <w:tcBorders>
              <w:top w:val="nil"/>
              <w:left w:val="nil"/>
              <w:bottom w:val="single" w:sz="8" w:space="0" w:color="auto"/>
              <w:right w:val="nil"/>
            </w:tcBorders>
            <w:shd w:val="clear" w:color="000000" w:fill="FFFFFF"/>
            <w:noWrap/>
            <w:vAlign w:val="bottom"/>
            <w:hideMark/>
          </w:tcPr>
          <w:p w14:paraId="4218909D"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331.5</w:t>
            </w:r>
          </w:p>
        </w:tc>
        <w:tc>
          <w:tcPr>
            <w:tcW w:w="1990" w:type="dxa"/>
            <w:tcBorders>
              <w:top w:val="nil"/>
              <w:left w:val="nil"/>
              <w:bottom w:val="single" w:sz="8" w:space="0" w:color="auto"/>
              <w:right w:val="nil"/>
            </w:tcBorders>
            <w:shd w:val="clear" w:color="000000" w:fill="FFFFFF"/>
            <w:noWrap/>
            <w:vAlign w:val="bottom"/>
            <w:hideMark/>
          </w:tcPr>
          <w:p w14:paraId="4370B25F"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26.3</w:t>
            </w:r>
          </w:p>
        </w:tc>
      </w:tr>
    </w:tbl>
    <w:p w14:paraId="1F3F88ED" w14:textId="177CEA4F" w:rsidR="00F36B8C" w:rsidRDefault="00AA203D" w:rsidP="00463687">
      <w:pPr>
        <w:spacing w:after="0" w:line="240" w:lineRule="auto"/>
        <w:ind w:right="-188"/>
        <w:jc w:val="center"/>
        <w:rPr>
          <w:rFonts w:ascii="Cambria" w:hAnsi="Cambria" w:cs="Times New Roman"/>
          <w:i/>
          <w:noProof/>
          <w:sz w:val="20"/>
          <w:szCs w:val="20"/>
        </w:rPr>
      </w:pPr>
      <w:r w:rsidRPr="00B456F4">
        <w:rPr>
          <w:rFonts w:ascii="Cambria" w:hAnsi="Cambria" w:cs="Times New Roman"/>
          <w:b/>
          <w:noProof/>
          <w:sz w:val="20"/>
          <w:szCs w:val="20"/>
        </w:rPr>
        <w:t xml:space="preserve">Burimi: </w:t>
      </w:r>
      <w:r w:rsidRPr="00B456F4">
        <w:rPr>
          <w:rFonts w:ascii="Cambria" w:hAnsi="Cambria" w:cs="Times New Roman"/>
          <w:i/>
          <w:noProof/>
          <w:sz w:val="20"/>
          <w:szCs w:val="20"/>
        </w:rPr>
        <w:t>Ministria e Financave dhe Ekonomisë (202</w:t>
      </w:r>
      <w:r w:rsidR="00463687">
        <w:rPr>
          <w:rFonts w:ascii="Cambria" w:hAnsi="Cambria" w:cs="Times New Roman"/>
          <w:i/>
          <w:noProof/>
          <w:sz w:val="20"/>
          <w:szCs w:val="20"/>
        </w:rPr>
        <w:t>3</w:t>
      </w:r>
      <w:r w:rsidRPr="00B456F4">
        <w:rPr>
          <w:rFonts w:ascii="Cambria" w:hAnsi="Cambria" w:cs="Times New Roman"/>
          <w:i/>
          <w:noProof/>
          <w:sz w:val="20"/>
          <w:szCs w:val="20"/>
        </w:rPr>
        <w:t>)</w:t>
      </w:r>
    </w:p>
    <w:p w14:paraId="5E43C15A" w14:textId="77777777" w:rsidR="00B47E37" w:rsidRPr="004900A0" w:rsidRDefault="00B47E37" w:rsidP="006061C1">
      <w:pPr>
        <w:spacing w:after="0" w:line="240" w:lineRule="auto"/>
        <w:ind w:right="-188"/>
        <w:jc w:val="center"/>
        <w:rPr>
          <w:rFonts w:ascii="Cambria" w:eastAsia="Times New Roman" w:hAnsi="Cambria"/>
          <w:i/>
          <w:noProof/>
          <w:color w:val="000000" w:themeColor="text1"/>
          <w:sz w:val="20"/>
          <w:szCs w:val="20"/>
        </w:rPr>
      </w:pPr>
    </w:p>
    <w:p w14:paraId="6374A7BD" w14:textId="3D74F4F4" w:rsidR="00166B85" w:rsidRPr="00190E39" w:rsidRDefault="00166B85" w:rsidP="00F36B8C">
      <w:pPr>
        <w:tabs>
          <w:tab w:val="left" w:pos="1182"/>
        </w:tabs>
        <w:spacing w:after="0" w:line="276" w:lineRule="auto"/>
        <w:ind w:right="-46"/>
        <w:jc w:val="both"/>
        <w:rPr>
          <w:rFonts w:ascii="Times New Roman" w:hAnsi="Times New Roman" w:cs="Times New Roman"/>
          <w:noProof/>
          <w:sz w:val="24"/>
          <w:szCs w:val="24"/>
        </w:rPr>
      </w:pPr>
      <w:r w:rsidRPr="00190E39">
        <w:rPr>
          <w:rFonts w:ascii="Times New Roman" w:hAnsi="Times New Roman" w:cs="Times New Roman"/>
          <w:noProof/>
          <w:sz w:val="24"/>
          <w:szCs w:val="24"/>
        </w:rPr>
        <w:t>P</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r sa i p</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rket raportit t</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huamarrjes s</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brendshme me t</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ardhurat tatimore v</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rehet nj</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w:t>
      </w:r>
      <w:r w:rsidR="004900A0">
        <w:rPr>
          <w:rFonts w:ascii="Times New Roman" w:hAnsi="Times New Roman" w:cs="Times New Roman"/>
          <w:noProof/>
          <w:sz w:val="24"/>
          <w:szCs w:val="24"/>
        </w:rPr>
        <w:t>ulje e</w:t>
      </w:r>
      <w:r w:rsidRPr="00190E39">
        <w:rPr>
          <w:rFonts w:ascii="Times New Roman" w:hAnsi="Times New Roman" w:cs="Times New Roman"/>
          <w:noProof/>
          <w:sz w:val="24"/>
          <w:szCs w:val="24"/>
        </w:rPr>
        <w:t xml:space="preserve"> k</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tij raporti krahasuar me </w:t>
      </w:r>
      <w:r w:rsidR="00463687">
        <w:rPr>
          <w:rFonts w:ascii="Times New Roman" w:hAnsi="Times New Roman" w:cs="Times New Roman"/>
          <w:noProof/>
          <w:sz w:val="24"/>
          <w:szCs w:val="24"/>
        </w:rPr>
        <w:t>vitin e</w:t>
      </w:r>
      <w:r w:rsidRPr="00190E39">
        <w:rPr>
          <w:rFonts w:ascii="Times New Roman" w:hAnsi="Times New Roman" w:cs="Times New Roman"/>
          <w:noProof/>
          <w:sz w:val="24"/>
          <w:szCs w:val="24"/>
        </w:rPr>
        <w:t xml:space="preserve"> m</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parsh</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m, i ndikuar kryesisht nga </w:t>
      </w:r>
      <w:r w:rsidR="00194EBD">
        <w:rPr>
          <w:rFonts w:ascii="Times New Roman" w:hAnsi="Times New Roman" w:cs="Times New Roman"/>
          <w:noProof/>
          <w:sz w:val="24"/>
          <w:szCs w:val="24"/>
        </w:rPr>
        <w:t>r</w:t>
      </w:r>
      <w:r w:rsidR="00F36B8C" w:rsidRPr="00190E39">
        <w:rPr>
          <w:rFonts w:ascii="Times New Roman" w:hAnsi="Times New Roman" w:cs="Times New Roman"/>
          <w:noProof/>
          <w:sz w:val="24"/>
          <w:szCs w:val="24"/>
        </w:rPr>
        <w:t>ritja</w:t>
      </w:r>
      <w:r w:rsidRPr="00190E39">
        <w:rPr>
          <w:rFonts w:ascii="Times New Roman" w:hAnsi="Times New Roman" w:cs="Times New Roman"/>
          <w:noProof/>
          <w:sz w:val="24"/>
          <w:szCs w:val="24"/>
        </w:rPr>
        <w:t xml:space="preserve"> e nivelit t</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t</w:t>
      </w:r>
      <w:r w:rsidR="00E502E6" w:rsidRPr="00190E39">
        <w:rPr>
          <w:rFonts w:ascii="Times New Roman" w:hAnsi="Times New Roman" w:cs="Times New Roman"/>
          <w:noProof/>
          <w:sz w:val="24"/>
          <w:szCs w:val="24"/>
        </w:rPr>
        <w:t>ë</w:t>
      </w:r>
      <w:r w:rsidRPr="00190E39">
        <w:rPr>
          <w:rFonts w:ascii="Times New Roman" w:hAnsi="Times New Roman" w:cs="Times New Roman"/>
          <w:noProof/>
          <w:sz w:val="24"/>
          <w:szCs w:val="24"/>
        </w:rPr>
        <w:t xml:space="preserve"> ardhurave</w:t>
      </w:r>
      <w:r w:rsidR="00E502E6" w:rsidRPr="00190E39">
        <w:rPr>
          <w:rFonts w:ascii="Times New Roman" w:hAnsi="Times New Roman" w:cs="Times New Roman"/>
          <w:noProof/>
          <w:sz w:val="24"/>
          <w:szCs w:val="24"/>
        </w:rPr>
        <w:t>,</w:t>
      </w:r>
      <w:r w:rsidRPr="00190E39">
        <w:rPr>
          <w:rFonts w:ascii="Times New Roman" w:hAnsi="Times New Roman" w:cs="Times New Roman"/>
          <w:noProof/>
          <w:sz w:val="24"/>
          <w:szCs w:val="24"/>
        </w:rPr>
        <w:t xml:space="preserve"> </w:t>
      </w:r>
      <w:r w:rsidR="005F7575" w:rsidRPr="00190E39">
        <w:rPr>
          <w:rFonts w:ascii="Times New Roman" w:hAnsi="Times New Roman" w:cs="Times New Roman"/>
          <w:noProof/>
          <w:sz w:val="24"/>
          <w:szCs w:val="24"/>
        </w:rPr>
        <w:t>në krahasim me të nj</w:t>
      </w:r>
      <w:r w:rsidR="0035043B">
        <w:rPr>
          <w:rFonts w:ascii="Times New Roman" w:hAnsi="Times New Roman" w:cs="Times New Roman"/>
          <w:noProof/>
          <w:sz w:val="24"/>
          <w:szCs w:val="24"/>
        </w:rPr>
        <w:t>ë</w:t>
      </w:r>
      <w:r w:rsidR="005F7575" w:rsidRPr="00190E39">
        <w:rPr>
          <w:rFonts w:ascii="Times New Roman" w:hAnsi="Times New Roman" w:cs="Times New Roman"/>
          <w:noProof/>
          <w:sz w:val="24"/>
          <w:szCs w:val="24"/>
        </w:rPr>
        <w:t>j</w:t>
      </w:r>
      <w:r w:rsidR="00194EBD">
        <w:rPr>
          <w:rFonts w:ascii="Times New Roman" w:hAnsi="Times New Roman" w:cs="Times New Roman"/>
          <w:noProof/>
          <w:sz w:val="24"/>
          <w:szCs w:val="24"/>
        </w:rPr>
        <w:t>tën periudhë</w:t>
      </w:r>
      <w:r w:rsidR="00F36B8C" w:rsidRPr="00190E39">
        <w:rPr>
          <w:rFonts w:ascii="Times New Roman" w:hAnsi="Times New Roman" w:cs="Times New Roman"/>
          <w:noProof/>
          <w:sz w:val="24"/>
          <w:szCs w:val="24"/>
        </w:rPr>
        <w:t xml:space="preserve"> të vitit të kaluar. </w:t>
      </w:r>
    </w:p>
    <w:p w14:paraId="0A9B678B" w14:textId="77777777" w:rsidR="005F7575" w:rsidRPr="00DB3C91" w:rsidRDefault="005F7575" w:rsidP="00F36B8C">
      <w:pPr>
        <w:tabs>
          <w:tab w:val="left" w:pos="1182"/>
        </w:tabs>
        <w:spacing w:after="0" w:line="276" w:lineRule="auto"/>
        <w:ind w:right="-46"/>
        <w:jc w:val="both"/>
        <w:rPr>
          <w:rFonts w:ascii="Times New Roman" w:hAnsi="Times New Roman" w:cs="Times New Roman"/>
          <w:noProof/>
          <w:sz w:val="24"/>
          <w:szCs w:val="24"/>
          <w:highlight w:val="yellow"/>
        </w:rPr>
      </w:pPr>
    </w:p>
    <w:p w14:paraId="0D53EDFB" w14:textId="08983D5C" w:rsidR="00CE670F" w:rsidRPr="005F7575" w:rsidRDefault="00CE670F" w:rsidP="00CE670F">
      <w:pPr>
        <w:spacing w:after="0" w:line="276" w:lineRule="auto"/>
        <w:ind w:left="2410" w:right="-188" w:hanging="2410"/>
        <w:rPr>
          <w:rFonts w:ascii="Cambria" w:eastAsia="Calibri" w:hAnsi="Cambria" w:cs="Times New Roman"/>
          <w:i/>
          <w:noProof/>
          <w:sz w:val="20"/>
          <w:szCs w:val="20"/>
        </w:rPr>
      </w:pPr>
      <w:r w:rsidRPr="005F7575">
        <w:rPr>
          <w:rFonts w:ascii="Cambria" w:eastAsia="Calibri" w:hAnsi="Cambria" w:cs="Times New Roman"/>
          <w:b/>
          <w:noProof/>
          <w:sz w:val="20"/>
          <w:szCs w:val="20"/>
        </w:rPr>
        <w:t xml:space="preserve">          </w:t>
      </w:r>
      <w:r w:rsidR="00AA203D" w:rsidRPr="005F7575">
        <w:rPr>
          <w:rFonts w:ascii="Cambria" w:eastAsia="Calibri" w:hAnsi="Cambria" w:cs="Times New Roman"/>
          <w:b/>
          <w:noProof/>
          <w:sz w:val="20"/>
          <w:szCs w:val="20"/>
        </w:rPr>
        <w:t>Paraqitje Grafike 4.1:</w:t>
      </w:r>
      <w:r w:rsidR="00AA203D" w:rsidRPr="005F7575">
        <w:rPr>
          <w:rFonts w:eastAsia="Batang"/>
          <w:b/>
          <w:noProof/>
        </w:rPr>
        <w:t xml:space="preserve"> </w:t>
      </w:r>
      <w:r w:rsidR="00AA203D" w:rsidRPr="005F7575">
        <w:rPr>
          <w:rFonts w:ascii="Cambria" w:eastAsia="Calibri" w:hAnsi="Cambria" w:cs="Times New Roman"/>
          <w:i/>
          <w:noProof/>
          <w:sz w:val="20"/>
          <w:szCs w:val="20"/>
        </w:rPr>
        <w:t>Huamarrja e brendshme n</w:t>
      </w:r>
      <w:r w:rsidR="00A70F29" w:rsidRPr="005F7575">
        <w:rPr>
          <w:rFonts w:ascii="Cambria" w:eastAsia="Calibri" w:hAnsi="Cambria" w:cs="Times New Roman"/>
          <w:i/>
          <w:noProof/>
          <w:sz w:val="20"/>
          <w:szCs w:val="20"/>
        </w:rPr>
        <w:t>ë</w:t>
      </w:r>
      <w:r w:rsidR="00AA203D" w:rsidRPr="005F7575">
        <w:rPr>
          <w:rFonts w:ascii="Cambria" w:eastAsia="Calibri" w:hAnsi="Cambria" w:cs="Times New Roman"/>
          <w:i/>
          <w:noProof/>
          <w:sz w:val="20"/>
          <w:szCs w:val="20"/>
        </w:rPr>
        <w:t xml:space="preserve"> terma </w:t>
      </w:r>
      <w:r w:rsidR="00B94B12" w:rsidRPr="005F7575">
        <w:rPr>
          <w:rFonts w:ascii="Cambria" w:eastAsia="Calibri" w:hAnsi="Cambria" w:cs="Times New Roman"/>
          <w:i/>
          <w:noProof/>
          <w:sz w:val="20"/>
          <w:szCs w:val="20"/>
        </w:rPr>
        <w:t>bruto</w:t>
      </w:r>
      <w:r w:rsidRPr="005F7575">
        <w:rPr>
          <w:rFonts w:ascii="Cambria" w:eastAsia="Calibri" w:hAnsi="Cambria" w:cs="Times New Roman"/>
          <w:i/>
          <w:noProof/>
          <w:sz w:val="20"/>
          <w:szCs w:val="20"/>
        </w:rPr>
        <w:t xml:space="preserve"> </w:t>
      </w:r>
      <w:r w:rsidR="00B94B12" w:rsidRPr="005F7575">
        <w:rPr>
          <w:rFonts w:ascii="Cambria" w:eastAsia="Calibri" w:hAnsi="Cambria" w:cs="Times New Roman"/>
          <w:i/>
          <w:noProof/>
          <w:sz w:val="20"/>
          <w:szCs w:val="20"/>
        </w:rPr>
        <w:t>në raport me të ardhurat tatimore</w:t>
      </w:r>
      <w:r w:rsidR="00171DF3" w:rsidRPr="005F7575">
        <w:rPr>
          <w:rFonts w:ascii="Cambria" w:eastAsia="Calibri" w:hAnsi="Cambria" w:cs="Times New Roman"/>
          <w:i/>
          <w:noProof/>
          <w:sz w:val="20"/>
          <w:szCs w:val="20"/>
        </w:rPr>
        <w:t xml:space="preserve">   </w:t>
      </w:r>
      <w:r w:rsidRPr="005F7575">
        <w:rPr>
          <w:rFonts w:ascii="Cambria" w:eastAsia="Calibri" w:hAnsi="Cambria" w:cs="Times New Roman"/>
          <w:i/>
          <w:noProof/>
          <w:sz w:val="20"/>
          <w:szCs w:val="20"/>
        </w:rPr>
        <w:t xml:space="preserve">                               </w:t>
      </w:r>
      <w:r w:rsidR="005F7575" w:rsidRPr="005F7575">
        <w:rPr>
          <w:rFonts w:ascii="Cambria" w:eastAsia="Calibri" w:hAnsi="Cambria" w:cs="Times New Roman"/>
          <w:i/>
          <w:noProof/>
          <w:sz w:val="20"/>
          <w:szCs w:val="20"/>
        </w:rPr>
        <w:t>(</w:t>
      </w:r>
      <w:r w:rsidR="00463687">
        <w:rPr>
          <w:rFonts w:ascii="Cambria" w:eastAsia="Calibri" w:hAnsi="Cambria" w:cs="Times New Roman"/>
          <w:i/>
          <w:noProof/>
          <w:sz w:val="20"/>
          <w:szCs w:val="20"/>
        </w:rPr>
        <w:t xml:space="preserve">2018 – </w:t>
      </w:r>
      <w:r w:rsidR="00171DF3" w:rsidRPr="005F7575">
        <w:rPr>
          <w:rFonts w:ascii="Cambria" w:eastAsia="Calibri" w:hAnsi="Cambria" w:cs="Times New Roman"/>
          <w:i/>
          <w:noProof/>
          <w:sz w:val="20"/>
          <w:szCs w:val="20"/>
        </w:rPr>
        <w:t>202</w:t>
      </w:r>
      <w:r w:rsidR="005F7575" w:rsidRPr="005F7575">
        <w:rPr>
          <w:rFonts w:ascii="Cambria" w:eastAsia="Calibri" w:hAnsi="Cambria" w:cs="Times New Roman"/>
          <w:i/>
          <w:noProof/>
          <w:sz w:val="20"/>
          <w:szCs w:val="20"/>
        </w:rPr>
        <w:t>2</w:t>
      </w:r>
      <w:r w:rsidR="00171DF3" w:rsidRPr="005F7575">
        <w:rPr>
          <w:rFonts w:ascii="Cambria" w:eastAsia="Calibri" w:hAnsi="Cambria" w:cs="Times New Roman"/>
          <w:i/>
          <w:noProof/>
          <w:sz w:val="20"/>
          <w:szCs w:val="20"/>
        </w:rPr>
        <w:t>)</w:t>
      </w:r>
      <w:r w:rsidR="00733141" w:rsidRPr="005F7575">
        <w:rPr>
          <w:rFonts w:ascii="Cambria" w:eastAsia="Calibri" w:hAnsi="Cambria" w:cs="Times New Roman"/>
          <w:i/>
          <w:noProof/>
          <w:sz w:val="20"/>
          <w:szCs w:val="20"/>
        </w:rPr>
        <w:t xml:space="preserve">       </w:t>
      </w:r>
    </w:p>
    <w:p w14:paraId="67DD745F" w14:textId="271CCB18" w:rsidR="00584441" w:rsidRPr="005F7575" w:rsidRDefault="00C02610" w:rsidP="00CE670F">
      <w:pPr>
        <w:spacing w:after="0" w:line="276" w:lineRule="auto"/>
        <w:ind w:left="2410" w:right="-188" w:hanging="2410"/>
        <w:rPr>
          <w:rFonts w:ascii="Cambria" w:eastAsia="Calibri" w:hAnsi="Cambria" w:cs="Times New Roman"/>
          <w:i/>
          <w:noProof/>
          <w:sz w:val="20"/>
          <w:szCs w:val="20"/>
        </w:rPr>
      </w:pPr>
      <w:r w:rsidRPr="00C02610">
        <w:rPr>
          <w:noProof/>
          <w:shd w:val="clear" w:color="auto" w:fill="1F4E79" w:themeFill="accent1" w:themeFillShade="80"/>
          <w:lang w:val="en-US"/>
        </w:rPr>
        <w:drawing>
          <wp:inline distT="0" distB="0" distL="0" distR="0" wp14:anchorId="16A821D3" wp14:editId="767239CF">
            <wp:extent cx="5856051" cy="2147570"/>
            <wp:effectExtent l="0" t="0" r="11430" b="5080"/>
            <wp:docPr id="25" name="Chart 25">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C65793" w14:textId="15CB72A9" w:rsidR="00AA203D" w:rsidRDefault="00AA203D" w:rsidP="00171DF3">
      <w:pPr>
        <w:tabs>
          <w:tab w:val="left" w:pos="1182"/>
        </w:tabs>
        <w:spacing w:after="0" w:line="276" w:lineRule="auto"/>
        <w:ind w:right="-188"/>
        <w:jc w:val="center"/>
        <w:rPr>
          <w:rFonts w:ascii="Cambria" w:hAnsi="Cambria" w:cs="Times New Roman"/>
          <w:i/>
          <w:noProof/>
          <w:sz w:val="20"/>
          <w:szCs w:val="20"/>
        </w:rPr>
      </w:pPr>
      <w:r w:rsidRPr="005F7575">
        <w:rPr>
          <w:rFonts w:ascii="Cambria" w:hAnsi="Cambria" w:cs="Times New Roman"/>
          <w:b/>
          <w:noProof/>
          <w:sz w:val="20"/>
          <w:szCs w:val="20"/>
        </w:rPr>
        <w:t xml:space="preserve">Burimi: </w:t>
      </w:r>
      <w:r w:rsidRPr="005F7575">
        <w:rPr>
          <w:rFonts w:ascii="Cambria" w:hAnsi="Cambria" w:cs="Times New Roman"/>
          <w:i/>
          <w:noProof/>
          <w:sz w:val="20"/>
          <w:szCs w:val="20"/>
        </w:rPr>
        <w:t>Ministria e Financave dhe Ekonomisë (202</w:t>
      </w:r>
      <w:r w:rsidR="00463687">
        <w:rPr>
          <w:rFonts w:ascii="Cambria" w:hAnsi="Cambria" w:cs="Times New Roman"/>
          <w:i/>
          <w:noProof/>
          <w:sz w:val="20"/>
          <w:szCs w:val="20"/>
        </w:rPr>
        <w:t>3</w:t>
      </w:r>
      <w:r w:rsidRPr="005F7575">
        <w:rPr>
          <w:rFonts w:ascii="Cambria" w:hAnsi="Cambria" w:cs="Times New Roman"/>
          <w:i/>
          <w:noProof/>
          <w:sz w:val="20"/>
          <w:szCs w:val="20"/>
        </w:rPr>
        <w:t>)</w:t>
      </w:r>
    </w:p>
    <w:p w14:paraId="3F3A2930" w14:textId="77777777" w:rsidR="00463687" w:rsidRPr="005F7575" w:rsidRDefault="00463687" w:rsidP="00171DF3">
      <w:pPr>
        <w:tabs>
          <w:tab w:val="left" w:pos="1182"/>
        </w:tabs>
        <w:spacing w:after="0" w:line="276" w:lineRule="auto"/>
        <w:ind w:right="-188"/>
        <w:jc w:val="center"/>
        <w:rPr>
          <w:rFonts w:ascii="Cambria" w:hAnsi="Cambria" w:cs="Times New Roman"/>
          <w:i/>
          <w:noProof/>
          <w:sz w:val="20"/>
          <w:szCs w:val="20"/>
        </w:rPr>
      </w:pPr>
    </w:p>
    <w:p w14:paraId="31F820E6" w14:textId="77777777" w:rsidR="00AA203D" w:rsidRPr="00190E39" w:rsidRDefault="00AA203D" w:rsidP="00B92540">
      <w:pPr>
        <w:pStyle w:val="Heading2"/>
        <w:numPr>
          <w:ilvl w:val="1"/>
          <w:numId w:val="5"/>
        </w:numPr>
        <w:spacing w:before="0" w:after="240" w:line="276" w:lineRule="auto"/>
        <w:ind w:left="0" w:right="-188" w:firstLine="0"/>
        <w:jc w:val="both"/>
        <w:rPr>
          <w:rFonts w:ascii="Cambria" w:hAnsi="Cambria"/>
          <w:noProof/>
        </w:rPr>
      </w:pPr>
      <w:bookmarkStart w:id="10" w:name="_Toc34645066"/>
      <w:r w:rsidRPr="00190E39">
        <w:rPr>
          <w:rFonts w:ascii="Cambria" w:hAnsi="Cambria"/>
          <w:noProof/>
        </w:rPr>
        <w:t>Huamarrja e Huaj</w:t>
      </w:r>
      <w:bookmarkEnd w:id="10"/>
    </w:p>
    <w:p w14:paraId="33E33A10" w14:textId="5E6DF435" w:rsidR="005F7575" w:rsidRDefault="00463687" w:rsidP="005F7575">
      <w:pPr>
        <w:tabs>
          <w:tab w:val="left" w:pos="1182"/>
        </w:tabs>
        <w:spacing w:after="0" w:line="276" w:lineRule="auto"/>
        <w:ind w:right="-188"/>
        <w:jc w:val="both"/>
        <w:rPr>
          <w:rFonts w:ascii="Times New Roman" w:eastAsia="Calibri" w:hAnsi="Times New Roman" w:cs="Times New Roman"/>
          <w:noProof/>
          <w:sz w:val="24"/>
          <w:szCs w:val="24"/>
        </w:rPr>
      </w:pPr>
      <w:r w:rsidRPr="00463687">
        <w:rPr>
          <w:rFonts w:ascii="Times New Roman" w:eastAsia="Calibri" w:hAnsi="Times New Roman" w:cs="Times New Roman"/>
          <w:noProof/>
          <w:sz w:val="24"/>
          <w:szCs w:val="24"/>
        </w:rPr>
        <w:t>Sa i takon burimeve të jashtme të financimit, huamarrja gjatë vitit 2022 u realizua në nivelin prej 28.3 miliard Lekë. Krahasuar me vitin 2021, huamarrja e huaj bruto është ulur për shkak se gjatë vitit 2022 nuk u emetua Eurobond, niveli i mbështetjes buxhetore ishte më e ulët se vitin e kaluar dhe gjithashtu vlera e kredive të disbursuara për financimin e projekteve është më e ulët se në vitin 2021. Mbi 70% e financimit të huaj bruto gjatë vitit 2022 vjen nga disbursimi i kredive në formën e mbështetjes buxhetore dhe pjesa tjetër për projekte, kryesisht nga projektet e transportit, pasuar nga sektori i shërbimeve shëndetësore, infrastrukturë urbane, si dhe furnizim me ujë dhe kanalizime.</w:t>
      </w:r>
    </w:p>
    <w:p w14:paraId="7AA197EF" w14:textId="77777777" w:rsidR="0051067F" w:rsidRDefault="0051067F" w:rsidP="0051067F">
      <w:pPr>
        <w:tabs>
          <w:tab w:val="left" w:pos="1182"/>
        </w:tabs>
        <w:spacing w:after="0" w:line="276" w:lineRule="auto"/>
        <w:ind w:right="-188"/>
        <w:rPr>
          <w:rFonts w:ascii="Times New Roman" w:eastAsia="Calibri" w:hAnsi="Times New Roman" w:cs="Times New Roman"/>
          <w:noProof/>
          <w:sz w:val="20"/>
          <w:szCs w:val="20"/>
        </w:rPr>
      </w:pPr>
    </w:p>
    <w:p w14:paraId="20EFD87F" w14:textId="77777777" w:rsidR="009D671C" w:rsidRDefault="009D671C" w:rsidP="0051067F">
      <w:pPr>
        <w:tabs>
          <w:tab w:val="left" w:pos="1182"/>
        </w:tabs>
        <w:spacing w:after="0" w:line="276" w:lineRule="auto"/>
        <w:ind w:right="-188"/>
        <w:jc w:val="center"/>
        <w:rPr>
          <w:rFonts w:ascii="Cambria" w:hAnsi="Cambria" w:cs="Times New Roman"/>
          <w:b/>
          <w:noProof/>
          <w:sz w:val="20"/>
          <w:szCs w:val="20"/>
        </w:rPr>
      </w:pPr>
    </w:p>
    <w:p w14:paraId="08AD5C0D" w14:textId="4989C1AE" w:rsidR="00463687" w:rsidRDefault="00AA203D" w:rsidP="0051067F">
      <w:pPr>
        <w:tabs>
          <w:tab w:val="left" w:pos="1182"/>
        </w:tabs>
        <w:spacing w:after="0" w:line="276" w:lineRule="auto"/>
        <w:ind w:right="-188"/>
        <w:jc w:val="center"/>
      </w:pPr>
      <w:r w:rsidRPr="005F7575">
        <w:rPr>
          <w:rFonts w:ascii="Cambria" w:hAnsi="Cambria" w:cs="Times New Roman"/>
          <w:b/>
          <w:noProof/>
          <w:sz w:val="20"/>
          <w:szCs w:val="20"/>
        </w:rPr>
        <w:lastRenderedPageBreak/>
        <w:t xml:space="preserve">Tabela 4.2 : </w:t>
      </w:r>
      <w:r w:rsidRPr="005F7575">
        <w:rPr>
          <w:rFonts w:ascii="Cambria" w:hAnsi="Cambria" w:cs="Times New Roman"/>
          <w:i/>
          <w:noProof/>
          <w:sz w:val="20"/>
          <w:szCs w:val="20"/>
        </w:rPr>
        <w:t xml:space="preserve">Huamarrja e huaj në terma bruto </w:t>
      </w:r>
      <w:r w:rsidR="00812A0D" w:rsidRPr="005F7575">
        <w:rPr>
          <w:rFonts w:ascii="Cambria" w:eastAsia="Calibri" w:hAnsi="Cambria" w:cs="Times New Roman"/>
          <w:i/>
          <w:noProof/>
          <w:sz w:val="20"/>
          <w:szCs w:val="20"/>
        </w:rPr>
        <w:t>20</w:t>
      </w:r>
      <w:r w:rsidR="001339EC" w:rsidRPr="005F7575">
        <w:rPr>
          <w:rFonts w:ascii="Cambria" w:eastAsia="Calibri" w:hAnsi="Cambria" w:cs="Times New Roman"/>
          <w:i/>
          <w:noProof/>
          <w:sz w:val="20"/>
          <w:szCs w:val="20"/>
        </w:rPr>
        <w:t>21</w:t>
      </w:r>
      <w:r w:rsidR="00463687">
        <w:rPr>
          <w:rFonts w:ascii="Cambria" w:eastAsia="Calibri" w:hAnsi="Cambria" w:cs="Times New Roman"/>
          <w:i/>
          <w:noProof/>
          <w:sz w:val="20"/>
          <w:szCs w:val="20"/>
        </w:rPr>
        <w:t>-</w:t>
      </w:r>
      <w:r w:rsidR="00812A0D" w:rsidRPr="005F7575">
        <w:rPr>
          <w:rFonts w:ascii="Cambria" w:eastAsia="Calibri" w:hAnsi="Cambria" w:cs="Times New Roman"/>
          <w:i/>
          <w:noProof/>
          <w:sz w:val="20"/>
          <w:szCs w:val="20"/>
        </w:rPr>
        <w:t xml:space="preserve"> 202</w:t>
      </w:r>
      <w:r w:rsidR="001339EC" w:rsidRPr="005F7575">
        <w:rPr>
          <w:rFonts w:ascii="Cambria" w:eastAsia="Calibri" w:hAnsi="Cambria" w:cs="Times New Roman"/>
          <w:i/>
          <w:noProof/>
          <w:sz w:val="20"/>
          <w:szCs w:val="20"/>
        </w:rPr>
        <w:t>2</w:t>
      </w:r>
      <w:r w:rsidRPr="005F7575">
        <w:rPr>
          <w:rFonts w:ascii="Cambria" w:eastAsia="Calibri" w:hAnsi="Cambria" w:cs="Times New Roman"/>
          <w:i/>
          <w:noProof/>
          <w:sz w:val="20"/>
          <w:szCs w:val="20"/>
        </w:rPr>
        <w:t>)</w:t>
      </w:r>
      <w:r w:rsidR="00463687">
        <w:t xml:space="preserve"> </w:t>
      </w:r>
      <w:r w:rsidR="00463687">
        <w:rPr>
          <w:rFonts w:ascii="Cambria" w:hAnsi="Cambria" w:cs="Times New Roman"/>
          <w:b/>
          <w:noProof/>
          <w:sz w:val="20"/>
          <w:szCs w:val="20"/>
        </w:rPr>
        <w:fldChar w:fldCharType="begin"/>
      </w:r>
      <w:r w:rsidR="00463687">
        <w:rPr>
          <w:rFonts w:ascii="Cambria" w:hAnsi="Cambria" w:cs="Times New Roman"/>
          <w:b/>
          <w:noProof/>
          <w:sz w:val="20"/>
          <w:szCs w:val="20"/>
        </w:rPr>
        <w:instrText xml:space="preserve"> LINK Excel.Sheet.12 "C:\\Users\\erla.kadiu\\Desktop\\Analiza per KEF\\Viti 2022 Analiza\\Analiza Viti 2022\\Grafiket per analizen  viti 2022_erla.xlsx" "Huamarrja e Huaj !R16C1:R27C5" \a \f 4 \h  \* MERGEFORMAT </w:instrText>
      </w:r>
      <w:r w:rsidR="00463687">
        <w:rPr>
          <w:rFonts w:ascii="Cambria" w:hAnsi="Cambria" w:cs="Times New Roman"/>
          <w:b/>
          <w:noProof/>
          <w:sz w:val="20"/>
          <w:szCs w:val="20"/>
        </w:rPr>
        <w:fldChar w:fldCharType="separate"/>
      </w:r>
    </w:p>
    <w:tbl>
      <w:tblPr>
        <w:tblW w:w="9388" w:type="dxa"/>
        <w:tblLook w:val="04A0" w:firstRow="1" w:lastRow="0" w:firstColumn="1" w:lastColumn="0" w:noHBand="0" w:noVBand="1"/>
      </w:tblPr>
      <w:tblGrid>
        <w:gridCol w:w="3415"/>
        <w:gridCol w:w="1483"/>
        <w:gridCol w:w="1424"/>
        <w:gridCol w:w="1537"/>
        <w:gridCol w:w="1529"/>
      </w:tblGrid>
      <w:tr w:rsidR="00463687" w:rsidRPr="00463687" w14:paraId="65D7F44F" w14:textId="77777777" w:rsidTr="00463687">
        <w:trPr>
          <w:trHeight w:val="280"/>
        </w:trPr>
        <w:tc>
          <w:tcPr>
            <w:tcW w:w="3415" w:type="dxa"/>
            <w:vMerge w:val="restart"/>
            <w:tcBorders>
              <w:top w:val="nil"/>
              <w:left w:val="nil"/>
              <w:bottom w:val="nil"/>
              <w:right w:val="single" w:sz="8" w:space="0" w:color="FFFFFF"/>
            </w:tcBorders>
            <w:shd w:val="clear" w:color="000000" w:fill="B8CCE4"/>
            <w:noWrap/>
            <w:vAlign w:val="center"/>
            <w:hideMark/>
          </w:tcPr>
          <w:p w14:paraId="07B7D79F" w14:textId="77777777" w:rsidR="00463687" w:rsidRPr="00463687" w:rsidRDefault="00463687">
            <w:pPr>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Huajamarrja</w:t>
            </w:r>
            <w:proofErr w:type="spellEnd"/>
            <w:r w:rsidRPr="00463687">
              <w:rPr>
                <w:rFonts w:ascii="Cambria" w:eastAsia="Times New Roman" w:hAnsi="Cambria" w:cs="Calibri"/>
                <w:b/>
                <w:bCs/>
                <w:sz w:val="20"/>
                <w:szCs w:val="20"/>
                <w:lang w:val="en-US"/>
              </w:rPr>
              <w:t xml:space="preserve"> e </w:t>
            </w:r>
            <w:proofErr w:type="spellStart"/>
            <w:r w:rsidRPr="00463687">
              <w:rPr>
                <w:rFonts w:ascii="Cambria" w:eastAsia="Times New Roman" w:hAnsi="Cambria" w:cs="Calibri"/>
                <w:b/>
                <w:bCs/>
                <w:sz w:val="20"/>
                <w:szCs w:val="20"/>
                <w:lang w:val="en-US"/>
              </w:rPr>
              <w:t>Huaj</w:t>
            </w:r>
            <w:proofErr w:type="spellEnd"/>
            <w:r w:rsidRPr="00463687">
              <w:rPr>
                <w:rFonts w:ascii="Cambria" w:eastAsia="Times New Roman" w:hAnsi="Cambria" w:cs="Calibri"/>
                <w:b/>
                <w:bCs/>
                <w:sz w:val="20"/>
                <w:szCs w:val="20"/>
                <w:lang w:val="en-US"/>
              </w:rPr>
              <w:t xml:space="preserve"> </w:t>
            </w:r>
            <w:proofErr w:type="spellStart"/>
            <w:r w:rsidRPr="00463687">
              <w:rPr>
                <w:rFonts w:ascii="Cambria" w:eastAsia="Times New Roman" w:hAnsi="Cambria" w:cs="Calibri"/>
                <w:b/>
                <w:bCs/>
                <w:sz w:val="20"/>
                <w:szCs w:val="20"/>
                <w:lang w:val="en-US"/>
              </w:rPr>
              <w:t>Bruto</w:t>
            </w:r>
            <w:proofErr w:type="spellEnd"/>
          </w:p>
        </w:tc>
        <w:tc>
          <w:tcPr>
            <w:tcW w:w="2907" w:type="dxa"/>
            <w:gridSpan w:val="2"/>
            <w:tcBorders>
              <w:top w:val="nil"/>
              <w:left w:val="nil"/>
              <w:bottom w:val="single" w:sz="8" w:space="0" w:color="FFFFFF"/>
              <w:right w:val="nil"/>
            </w:tcBorders>
            <w:shd w:val="clear" w:color="000000" w:fill="B8CCE4"/>
            <w:noWrap/>
            <w:vAlign w:val="center"/>
            <w:hideMark/>
          </w:tcPr>
          <w:p w14:paraId="32D79846"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2021</w:t>
            </w:r>
          </w:p>
        </w:tc>
        <w:tc>
          <w:tcPr>
            <w:tcW w:w="3066" w:type="dxa"/>
            <w:gridSpan w:val="2"/>
            <w:tcBorders>
              <w:top w:val="nil"/>
              <w:left w:val="single" w:sz="8" w:space="0" w:color="FFFFFF"/>
              <w:bottom w:val="single" w:sz="8" w:space="0" w:color="FFFFFF"/>
              <w:right w:val="nil"/>
            </w:tcBorders>
            <w:shd w:val="clear" w:color="000000" w:fill="B8CCE4"/>
            <w:noWrap/>
            <w:vAlign w:val="center"/>
            <w:hideMark/>
          </w:tcPr>
          <w:p w14:paraId="13F98109"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2022</w:t>
            </w:r>
          </w:p>
        </w:tc>
      </w:tr>
      <w:tr w:rsidR="00463687" w:rsidRPr="00463687" w14:paraId="7A7CE1AC" w14:textId="77777777" w:rsidTr="00463687">
        <w:trPr>
          <w:trHeight w:val="454"/>
        </w:trPr>
        <w:tc>
          <w:tcPr>
            <w:tcW w:w="3415" w:type="dxa"/>
            <w:vMerge/>
            <w:tcBorders>
              <w:top w:val="nil"/>
              <w:left w:val="nil"/>
              <w:bottom w:val="nil"/>
              <w:right w:val="single" w:sz="8" w:space="0" w:color="FFFFFF"/>
            </w:tcBorders>
            <w:vAlign w:val="center"/>
            <w:hideMark/>
          </w:tcPr>
          <w:p w14:paraId="28C463D3" w14:textId="77777777" w:rsidR="00463687" w:rsidRPr="00463687" w:rsidRDefault="00463687" w:rsidP="00463687">
            <w:pPr>
              <w:spacing w:after="0" w:line="240" w:lineRule="auto"/>
              <w:rPr>
                <w:rFonts w:ascii="Cambria" w:eastAsia="Times New Roman" w:hAnsi="Cambria" w:cs="Calibri"/>
                <w:b/>
                <w:bCs/>
                <w:sz w:val="20"/>
                <w:szCs w:val="20"/>
                <w:lang w:val="en-US"/>
              </w:rPr>
            </w:pPr>
          </w:p>
        </w:tc>
        <w:tc>
          <w:tcPr>
            <w:tcW w:w="1483" w:type="dxa"/>
            <w:tcBorders>
              <w:top w:val="nil"/>
              <w:left w:val="nil"/>
              <w:bottom w:val="nil"/>
              <w:right w:val="nil"/>
            </w:tcBorders>
            <w:shd w:val="clear" w:color="000000" w:fill="B8CCE4"/>
            <w:vAlign w:val="center"/>
            <w:hideMark/>
          </w:tcPr>
          <w:p w14:paraId="1136696D"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Vlera</w:t>
            </w:r>
            <w:proofErr w:type="spellEnd"/>
            <w:r w:rsidRPr="00463687">
              <w:rPr>
                <w:rFonts w:ascii="Cambria" w:eastAsia="Times New Roman" w:hAnsi="Cambria" w:cs="Calibri"/>
                <w:b/>
                <w:bCs/>
                <w:sz w:val="20"/>
                <w:szCs w:val="20"/>
                <w:lang w:val="en-US"/>
              </w:rPr>
              <w:t xml:space="preserve">                                       </w:t>
            </w:r>
            <w:proofErr w:type="gramStart"/>
            <w:r w:rsidRPr="00463687">
              <w:rPr>
                <w:rFonts w:ascii="Cambria" w:eastAsia="Times New Roman" w:hAnsi="Cambria" w:cs="Calibri"/>
                <w:b/>
                <w:bCs/>
                <w:sz w:val="20"/>
                <w:szCs w:val="20"/>
                <w:lang w:val="en-US"/>
              </w:rPr>
              <w:t xml:space="preserve">   </w:t>
            </w:r>
            <w:r w:rsidRPr="00463687">
              <w:rPr>
                <w:rFonts w:ascii="Cambria" w:eastAsia="Times New Roman" w:hAnsi="Cambria" w:cs="Calibri"/>
                <w:i/>
                <w:iCs/>
                <w:sz w:val="20"/>
                <w:szCs w:val="20"/>
                <w:lang w:val="en-US"/>
              </w:rPr>
              <w:t>(</w:t>
            </w:r>
            <w:proofErr w:type="spellStart"/>
            <w:proofErr w:type="gramEnd"/>
            <w:r w:rsidRPr="00463687">
              <w:rPr>
                <w:rFonts w:ascii="Cambria" w:eastAsia="Times New Roman" w:hAnsi="Cambria" w:cs="Calibri"/>
                <w:i/>
                <w:iCs/>
                <w:sz w:val="20"/>
                <w:szCs w:val="20"/>
                <w:lang w:val="en-US"/>
              </w:rPr>
              <w:t>në</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mld</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Lek</w:t>
            </w:r>
            <w:proofErr w:type="spellEnd"/>
            <w:r w:rsidRPr="00463687">
              <w:rPr>
                <w:rFonts w:ascii="Cambria" w:eastAsia="Times New Roman" w:hAnsi="Cambria" w:cs="Calibri"/>
                <w:i/>
                <w:iCs/>
                <w:sz w:val="20"/>
                <w:szCs w:val="20"/>
                <w:lang w:val="en-US"/>
              </w:rPr>
              <w:t>)</w:t>
            </w:r>
          </w:p>
        </w:tc>
        <w:tc>
          <w:tcPr>
            <w:tcW w:w="1424" w:type="dxa"/>
            <w:tcBorders>
              <w:top w:val="nil"/>
              <w:left w:val="single" w:sz="8" w:space="0" w:color="FFFFFF"/>
              <w:bottom w:val="nil"/>
              <w:right w:val="single" w:sz="8" w:space="0" w:color="FFFFFF"/>
            </w:tcBorders>
            <w:shd w:val="clear" w:color="000000" w:fill="B8CCE4"/>
            <w:noWrap/>
            <w:vAlign w:val="center"/>
            <w:hideMark/>
          </w:tcPr>
          <w:p w14:paraId="6F7730EB"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%/Total</w:t>
            </w:r>
          </w:p>
        </w:tc>
        <w:tc>
          <w:tcPr>
            <w:tcW w:w="1537" w:type="dxa"/>
            <w:tcBorders>
              <w:top w:val="nil"/>
              <w:left w:val="nil"/>
              <w:bottom w:val="nil"/>
              <w:right w:val="nil"/>
            </w:tcBorders>
            <w:shd w:val="clear" w:color="000000" w:fill="B8CCE4"/>
            <w:vAlign w:val="center"/>
            <w:hideMark/>
          </w:tcPr>
          <w:p w14:paraId="4A9C9BA9"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proofErr w:type="spellStart"/>
            <w:r w:rsidRPr="00463687">
              <w:rPr>
                <w:rFonts w:ascii="Cambria" w:eastAsia="Times New Roman" w:hAnsi="Cambria" w:cs="Calibri"/>
                <w:b/>
                <w:bCs/>
                <w:sz w:val="20"/>
                <w:szCs w:val="20"/>
                <w:lang w:val="en-US"/>
              </w:rPr>
              <w:t>Vlera</w:t>
            </w:r>
            <w:proofErr w:type="spellEnd"/>
            <w:r w:rsidRPr="00463687">
              <w:rPr>
                <w:rFonts w:ascii="Cambria" w:eastAsia="Times New Roman" w:hAnsi="Cambria" w:cs="Calibri"/>
                <w:b/>
                <w:bCs/>
                <w:sz w:val="20"/>
                <w:szCs w:val="20"/>
                <w:lang w:val="en-US"/>
              </w:rPr>
              <w:t xml:space="preserve">                                       </w:t>
            </w:r>
            <w:proofErr w:type="gramStart"/>
            <w:r w:rsidRPr="00463687">
              <w:rPr>
                <w:rFonts w:ascii="Cambria" w:eastAsia="Times New Roman" w:hAnsi="Cambria" w:cs="Calibri"/>
                <w:b/>
                <w:bCs/>
                <w:sz w:val="20"/>
                <w:szCs w:val="20"/>
                <w:lang w:val="en-US"/>
              </w:rPr>
              <w:t xml:space="preserve">   </w:t>
            </w:r>
            <w:r w:rsidRPr="00463687">
              <w:rPr>
                <w:rFonts w:ascii="Cambria" w:eastAsia="Times New Roman" w:hAnsi="Cambria" w:cs="Calibri"/>
                <w:i/>
                <w:iCs/>
                <w:sz w:val="20"/>
                <w:szCs w:val="20"/>
                <w:lang w:val="en-US"/>
              </w:rPr>
              <w:t>(</w:t>
            </w:r>
            <w:proofErr w:type="spellStart"/>
            <w:proofErr w:type="gramEnd"/>
            <w:r w:rsidRPr="00463687">
              <w:rPr>
                <w:rFonts w:ascii="Cambria" w:eastAsia="Times New Roman" w:hAnsi="Cambria" w:cs="Calibri"/>
                <w:i/>
                <w:iCs/>
                <w:sz w:val="20"/>
                <w:szCs w:val="20"/>
                <w:lang w:val="en-US"/>
              </w:rPr>
              <w:t>në</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mld</w:t>
            </w:r>
            <w:proofErr w:type="spellEnd"/>
            <w:r w:rsidRPr="00463687">
              <w:rPr>
                <w:rFonts w:ascii="Cambria" w:eastAsia="Times New Roman" w:hAnsi="Cambria" w:cs="Calibri"/>
                <w:i/>
                <w:iCs/>
                <w:sz w:val="20"/>
                <w:szCs w:val="20"/>
                <w:lang w:val="en-US"/>
              </w:rPr>
              <w:t xml:space="preserve"> </w:t>
            </w:r>
            <w:proofErr w:type="spellStart"/>
            <w:r w:rsidRPr="00463687">
              <w:rPr>
                <w:rFonts w:ascii="Cambria" w:eastAsia="Times New Roman" w:hAnsi="Cambria" w:cs="Calibri"/>
                <w:i/>
                <w:iCs/>
                <w:sz w:val="20"/>
                <w:szCs w:val="20"/>
                <w:lang w:val="en-US"/>
              </w:rPr>
              <w:t>Lek</w:t>
            </w:r>
            <w:proofErr w:type="spellEnd"/>
            <w:r w:rsidRPr="00463687">
              <w:rPr>
                <w:rFonts w:ascii="Cambria" w:eastAsia="Times New Roman" w:hAnsi="Cambria" w:cs="Calibri"/>
                <w:i/>
                <w:iCs/>
                <w:sz w:val="20"/>
                <w:szCs w:val="20"/>
                <w:lang w:val="en-US"/>
              </w:rPr>
              <w:t>)</w:t>
            </w:r>
          </w:p>
        </w:tc>
        <w:tc>
          <w:tcPr>
            <w:tcW w:w="1529" w:type="dxa"/>
            <w:tcBorders>
              <w:top w:val="nil"/>
              <w:left w:val="single" w:sz="8" w:space="0" w:color="FFFFFF"/>
              <w:bottom w:val="nil"/>
              <w:right w:val="single" w:sz="8" w:space="0" w:color="FFFFFF"/>
            </w:tcBorders>
            <w:shd w:val="clear" w:color="000000" w:fill="B8CCE4"/>
            <w:noWrap/>
            <w:vAlign w:val="center"/>
            <w:hideMark/>
          </w:tcPr>
          <w:p w14:paraId="750C78A2" w14:textId="77777777" w:rsidR="00463687" w:rsidRPr="00463687" w:rsidRDefault="00463687" w:rsidP="00463687">
            <w:pPr>
              <w:spacing w:after="0" w:line="240" w:lineRule="auto"/>
              <w:jc w:val="center"/>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%/Total</w:t>
            </w:r>
          </w:p>
        </w:tc>
      </w:tr>
      <w:tr w:rsidR="00463687" w:rsidRPr="00463687" w14:paraId="6956A721" w14:textId="77777777" w:rsidTr="00463687">
        <w:trPr>
          <w:trHeight w:val="267"/>
        </w:trPr>
        <w:tc>
          <w:tcPr>
            <w:tcW w:w="3415" w:type="dxa"/>
            <w:tcBorders>
              <w:top w:val="nil"/>
              <w:left w:val="nil"/>
              <w:bottom w:val="nil"/>
              <w:right w:val="nil"/>
            </w:tcBorders>
            <w:shd w:val="clear" w:color="000000" w:fill="FFFFFF"/>
            <w:noWrap/>
            <w:vAlign w:val="center"/>
            <w:hideMark/>
          </w:tcPr>
          <w:p w14:paraId="23EA8962" w14:textId="77777777" w:rsidR="00463687" w:rsidRPr="00463687" w:rsidRDefault="00463687" w:rsidP="00463687">
            <w:pPr>
              <w:spacing w:after="0" w:line="240" w:lineRule="auto"/>
              <w:rPr>
                <w:rFonts w:ascii="Cambria" w:eastAsia="Times New Roman" w:hAnsi="Cambria" w:cs="Calibri"/>
                <w:b/>
                <w:bCs/>
                <w:color w:val="000000"/>
                <w:sz w:val="20"/>
                <w:szCs w:val="20"/>
                <w:lang w:val="en-US"/>
              </w:rPr>
            </w:pPr>
            <w:proofErr w:type="spellStart"/>
            <w:r w:rsidRPr="00463687">
              <w:rPr>
                <w:rFonts w:ascii="Cambria" w:eastAsia="Times New Roman" w:hAnsi="Cambria" w:cs="Calibri"/>
                <w:b/>
                <w:bCs/>
                <w:color w:val="000000"/>
                <w:sz w:val="20"/>
                <w:szCs w:val="20"/>
                <w:lang w:val="en-US"/>
              </w:rPr>
              <w:t>Kredi</w:t>
            </w:r>
            <w:proofErr w:type="spellEnd"/>
            <w:r w:rsidRPr="00463687">
              <w:rPr>
                <w:rFonts w:ascii="Cambria" w:eastAsia="Times New Roman" w:hAnsi="Cambria" w:cs="Calibri"/>
                <w:b/>
                <w:bCs/>
                <w:color w:val="000000"/>
                <w:sz w:val="20"/>
                <w:szCs w:val="20"/>
                <w:lang w:val="en-US"/>
              </w:rPr>
              <w:t xml:space="preserve"> </w:t>
            </w:r>
            <w:proofErr w:type="spellStart"/>
            <w:r w:rsidRPr="00463687">
              <w:rPr>
                <w:rFonts w:ascii="Cambria" w:eastAsia="Times New Roman" w:hAnsi="Cambria" w:cs="Calibri"/>
                <w:b/>
                <w:bCs/>
                <w:color w:val="000000"/>
                <w:sz w:val="20"/>
                <w:szCs w:val="20"/>
                <w:lang w:val="en-US"/>
              </w:rPr>
              <w:t>për</w:t>
            </w:r>
            <w:proofErr w:type="spellEnd"/>
            <w:r w:rsidRPr="00463687">
              <w:rPr>
                <w:rFonts w:ascii="Cambria" w:eastAsia="Times New Roman" w:hAnsi="Cambria" w:cs="Calibri"/>
                <w:b/>
                <w:bCs/>
                <w:color w:val="000000"/>
                <w:sz w:val="20"/>
                <w:szCs w:val="20"/>
                <w:lang w:val="en-US"/>
              </w:rPr>
              <w:t xml:space="preserve"> </w:t>
            </w:r>
            <w:proofErr w:type="spellStart"/>
            <w:r w:rsidRPr="00463687">
              <w:rPr>
                <w:rFonts w:ascii="Cambria" w:eastAsia="Times New Roman" w:hAnsi="Cambria" w:cs="Calibri"/>
                <w:b/>
                <w:bCs/>
                <w:color w:val="000000"/>
                <w:sz w:val="20"/>
                <w:szCs w:val="20"/>
                <w:lang w:val="en-US"/>
              </w:rPr>
              <w:t>financim</w:t>
            </w:r>
            <w:proofErr w:type="spellEnd"/>
            <w:r w:rsidRPr="00463687">
              <w:rPr>
                <w:rFonts w:ascii="Cambria" w:eastAsia="Times New Roman" w:hAnsi="Cambria" w:cs="Calibri"/>
                <w:b/>
                <w:bCs/>
                <w:color w:val="000000"/>
                <w:sz w:val="20"/>
                <w:szCs w:val="20"/>
                <w:lang w:val="en-US"/>
              </w:rPr>
              <w:t xml:space="preserve"> </w:t>
            </w:r>
            <w:proofErr w:type="spellStart"/>
            <w:r w:rsidRPr="00463687">
              <w:rPr>
                <w:rFonts w:ascii="Cambria" w:eastAsia="Times New Roman" w:hAnsi="Cambria" w:cs="Calibri"/>
                <w:b/>
                <w:bCs/>
                <w:color w:val="000000"/>
                <w:sz w:val="20"/>
                <w:szCs w:val="20"/>
                <w:lang w:val="en-US"/>
              </w:rPr>
              <w:t>projektesh</w:t>
            </w:r>
            <w:proofErr w:type="spellEnd"/>
          </w:p>
        </w:tc>
        <w:tc>
          <w:tcPr>
            <w:tcW w:w="1483" w:type="dxa"/>
            <w:tcBorders>
              <w:top w:val="nil"/>
              <w:left w:val="nil"/>
              <w:bottom w:val="nil"/>
              <w:right w:val="nil"/>
            </w:tcBorders>
            <w:shd w:val="clear" w:color="000000" w:fill="FFFFFF"/>
            <w:noWrap/>
            <w:vAlign w:val="bottom"/>
            <w:hideMark/>
          </w:tcPr>
          <w:p w14:paraId="77A53EDA"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16.3</w:t>
            </w:r>
          </w:p>
        </w:tc>
        <w:tc>
          <w:tcPr>
            <w:tcW w:w="1424" w:type="dxa"/>
            <w:tcBorders>
              <w:top w:val="nil"/>
              <w:left w:val="nil"/>
              <w:bottom w:val="nil"/>
              <w:right w:val="nil"/>
            </w:tcBorders>
            <w:shd w:val="clear" w:color="000000" w:fill="FFFFFF"/>
            <w:noWrap/>
            <w:vAlign w:val="bottom"/>
            <w:hideMark/>
          </w:tcPr>
          <w:p w14:paraId="196931A0"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12.0%</w:t>
            </w:r>
          </w:p>
        </w:tc>
        <w:tc>
          <w:tcPr>
            <w:tcW w:w="1537" w:type="dxa"/>
            <w:tcBorders>
              <w:top w:val="nil"/>
              <w:left w:val="nil"/>
              <w:bottom w:val="nil"/>
              <w:right w:val="nil"/>
            </w:tcBorders>
            <w:shd w:val="clear" w:color="000000" w:fill="FFFFFF"/>
            <w:noWrap/>
            <w:vAlign w:val="bottom"/>
            <w:hideMark/>
          </w:tcPr>
          <w:p w14:paraId="73A1877C" w14:textId="70B300EB" w:rsidR="00463687" w:rsidRPr="00463687" w:rsidRDefault="00463687" w:rsidP="00463687">
            <w:pPr>
              <w:spacing w:after="0" w:line="240" w:lineRule="auto"/>
              <w:jc w:val="right"/>
              <w:rPr>
                <w:rFonts w:ascii="Cambria" w:eastAsia="Times New Roman" w:hAnsi="Cambria" w:cs="Calibri"/>
                <w:b/>
                <w:bCs/>
                <w:sz w:val="20"/>
                <w:szCs w:val="20"/>
                <w:lang w:val="en-US"/>
              </w:rPr>
            </w:pPr>
            <w:r>
              <w:rPr>
                <w:rFonts w:ascii="Cambria" w:eastAsia="Times New Roman" w:hAnsi="Cambria" w:cs="Calibri"/>
                <w:b/>
                <w:bCs/>
                <w:sz w:val="20"/>
                <w:szCs w:val="20"/>
                <w:lang w:val="en-US"/>
              </w:rPr>
              <w:t>11.2</w:t>
            </w:r>
          </w:p>
        </w:tc>
        <w:tc>
          <w:tcPr>
            <w:tcW w:w="1529" w:type="dxa"/>
            <w:tcBorders>
              <w:top w:val="nil"/>
              <w:left w:val="nil"/>
              <w:bottom w:val="nil"/>
              <w:right w:val="nil"/>
            </w:tcBorders>
            <w:shd w:val="clear" w:color="000000" w:fill="FFFFFF"/>
            <w:noWrap/>
            <w:vAlign w:val="bottom"/>
            <w:hideMark/>
          </w:tcPr>
          <w:p w14:paraId="16D7A160"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39.3%</w:t>
            </w:r>
          </w:p>
        </w:tc>
      </w:tr>
      <w:tr w:rsidR="00463687" w:rsidRPr="00463687" w14:paraId="0028B4D1" w14:textId="77777777" w:rsidTr="00463687">
        <w:trPr>
          <w:trHeight w:val="267"/>
        </w:trPr>
        <w:tc>
          <w:tcPr>
            <w:tcW w:w="3415" w:type="dxa"/>
            <w:tcBorders>
              <w:top w:val="nil"/>
              <w:left w:val="nil"/>
              <w:bottom w:val="nil"/>
              <w:right w:val="nil"/>
            </w:tcBorders>
            <w:shd w:val="clear" w:color="000000" w:fill="FFFFFF"/>
            <w:noWrap/>
            <w:vAlign w:val="center"/>
            <w:hideMark/>
          </w:tcPr>
          <w:p w14:paraId="3C56933A"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Energjia</w:t>
            </w:r>
            <w:proofErr w:type="spellEnd"/>
          </w:p>
        </w:tc>
        <w:tc>
          <w:tcPr>
            <w:tcW w:w="1483" w:type="dxa"/>
            <w:tcBorders>
              <w:top w:val="nil"/>
              <w:left w:val="nil"/>
              <w:bottom w:val="nil"/>
              <w:right w:val="nil"/>
            </w:tcBorders>
            <w:shd w:val="clear" w:color="000000" w:fill="FFFFFF"/>
            <w:noWrap/>
            <w:vAlign w:val="bottom"/>
            <w:hideMark/>
          </w:tcPr>
          <w:p w14:paraId="605AE3AC"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1.2</w:t>
            </w:r>
          </w:p>
        </w:tc>
        <w:tc>
          <w:tcPr>
            <w:tcW w:w="1424" w:type="dxa"/>
            <w:tcBorders>
              <w:top w:val="nil"/>
              <w:left w:val="nil"/>
              <w:bottom w:val="nil"/>
              <w:right w:val="nil"/>
            </w:tcBorders>
            <w:shd w:val="clear" w:color="000000" w:fill="FFFFFF"/>
            <w:noWrap/>
            <w:vAlign w:val="bottom"/>
            <w:hideMark/>
          </w:tcPr>
          <w:p w14:paraId="19DD21E4"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0.9%</w:t>
            </w:r>
          </w:p>
        </w:tc>
        <w:tc>
          <w:tcPr>
            <w:tcW w:w="1537" w:type="dxa"/>
            <w:tcBorders>
              <w:top w:val="nil"/>
              <w:left w:val="nil"/>
              <w:bottom w:val="nil"/>
              <w:right w:val="nil"/>
            </w:tcBorders>
            <w:shd w:val="clear" w:color="000000" w:fill="FFFFFF"/>
            <w:noWrap/>
            <w:vAlign w:val="bottom"/>
            <w:hideMark/>
          </w:tcPr>
          <w:p w14:paraId="5369EA97"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0.6</w:t>
            </w:r>
          </w:p>
        </w:tc>
        <w:tc>
          <w:tcPr>
            <w:tcW w:w="1529" w:type="dxa"/>
            <w:tcBorders>
              <w:top w:val="nil"/>
              <w:left w:val="nil"/>
              <w:bottom w:val="nil"/>
              <w:right w:val="nil"/>
            </w:tcBorders>
            <w:shd w:val="clear" w:color="000000" w:fill="FFFFFF"/>
            <w:noWrap/>
            <w:vAlign w:val="bottom"/>
            <w:hideMark/>
          </w:tcPr>
          <w:p w14:paraId="215976A1"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2.2%</w:t>
            </w:r>
          </w:p>
        </w:tc>
      </w:tr>
      <w:tr w:rsidR="00463687" w:rsidRPr="00463687" w14:paraId="249599F4" w14:textId="77777777" w:rsidTr="00463687">
        <w:trPr>
          <w:trHeight w:val="267"/>
        </w:trPr>
        <w:tc>
          <w:tcPr>
            <w:tcW w:w="3415" w:type="dxa"/>
            <w:tcBorders>
              <w:top w:val="nil"/>
              <w:left w:val="nil"/>
              <w:bottom w:val="nil"/>
              <w:right w:val="nil"/>
            </w:tcBorders>
            <w:shd w:val="clear" w:color="000000" w:fill="FFFFFF"/>
            <w:noWrap/>
            <w:vAlign w:val="center"/>
            <w:hideMark/>
          </w:tcPr>
          <w:p w14:paraId="34AD5D7D"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Transporti</w:t>
            </w:r>
            <w:proofErr w:type="spellEnd"/>
          </w:p>
        </w:tc>
        <w:tc>
          <w:tcPr>
            <w:tcW w:w="1483" w:type="dxa"/>
            <w:tcBorders>
              <w:top w:val="nil"/>
              <w:left w:val="nil"/>
              <w:bottom w:val="nil"/>
              <w:right w:val="nil"/>
            </w:tcBorders>
            <w:shd w:val="clear" w:color="000000" w:fill="FFFFFF"/>
            <w:noWrap/>
            <w:vAlign w:val="bottom"/>
            <w:hideMark/>
          </w:tcPr>
          <w:p w14:paraId="79E85AA7"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7.9</w:t>
            </w:r>
          </w:p>
        </w:tc>
        <w:tc>
          <w:tcPr>
            <w:tcW w:w="1424" w:type="dxa"/>
            <w:tcBorders>
              <w:top w:val="nil"/>
              <w:left w:val="nil"/>
              <w:bottom w:val="nil"/>
              <w:right w:val="nil"/>
            </w:tcBorders>
            <w:shd w:val="clear" w:color="000000" w:fill="FFFFFF"/>
            <w:noWrap/>
            <w:vAlign w:val="bottom"/>
            <w:hideMark/>
          </w:tcPr>
          <w:p w14:paraId="61EAA384"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5.8%</w:t>
            </w:r>
          </w:p>
        </w:tc>
        <w:tc>
          <w:tcPr>
            <w:tcW w:w="1537" w:type="dxa"/>
            <w:tcBorders>
              <w:top w:val="nil"/>
              <w:left w:val="nil"/>
              <w:bottom w:val="nil"/>
              <w:right w:val="nil"/>
            </w:tcBorders>
            <w:shd w:val="clear" w:color="000000" w:fill="FFFFFF"/>
            <w:noWrap/>
            <w:vAlign w:val="bottom"/>
            <w:hideMark/>
          </w:tcPr>
          <w:p w14:paraId="018FD9B2"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5.6</w:t>
            </w:r>
          </w:p>
        </w:tc>
        <w:tc>
          <w:tcPr>
            <w:tcW w:w="1529" w:type="dxa"/>
            <w:tcBorders>
              <w:top w:val="nil"/>
              <w:left w:val="nil"/>
              <w:bottom w:val="nil"/>
              <w:right w:val="nil"/>
            </w:tcBorders>
            <w:shd w:val="clear" w:color="000000" w:fill="FFFFFF"/>
            <w:noWrap/>
            <w:vAlign w:val="bottom"/>
            <w:hideMark/>
          </w:tcPr>
          <w:p w14:paraId="069F33DF"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19.8%</w:t>
            </w:r>
          </w:p>
        </w:tc>
      </w:tr>
      <w:tr w:rsidR="00463687" w:rsidRPr="00463687" w14:paraId="63E92B2D" w14:textId="77777777" w:rsidTr="00463687">
        <w:trPr>
          <w:trHeight w:val="267"/>
        </w:trPr>
        <w:tc>
          <w:tcPr>
            <w:tcW w:w="3415" w:type="dxa"/>
            <w:tcBorders>
              <w:top w:val="nil"/>
              <w:left w:val="nil"/>
              <w:bottom w:val="nil"/>
              <w:right w:val="nil"/>
            </w:tcBorders>
            <w:shd w:val="clear" w:color="000000" w:fill="FFFFFF"/>
            <w:noWrap/>
            <w:vAlign w:val="center"/>
            <w:hideMark/>
          </w:tcPr>
          <w:p w14:paraId="1A3FDD7F"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Ujësjellës</w:t>
            </w:r>
            <w:proofErr w:type="spellEnd"/>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Kanalizime</w:t>
            </w:r>
            <w:proofErr w:type="spellEnd"/>
          </w:p>
        </w:tc>
        <w:tc>
          <w:tcPr>
            <w:tcW w:w="1483" w:type="dxa"/>
            <w:tcBorders>
              <w:top w:val="nil"/>
              <w:left w:val="nil"/>
              <w:bottom w:val="nil"/>
              <w:right w:val="nil"/>
            </w:tcBorders>
            <w:shd w:val="clear" w:color="000000" w:fill="FFFFFF"/>
            <w:noWrap/>
            <w:vAlign w:val="bottom"/>
            <w:hideMark/>
          </w:tcPr>
          <w:p w14:paraId="1F212000"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3.3</w:t>
            </w:r>
          </w:p>
        </w:tc>
        <w:tc>
          <w:tcPr>
            <w:tcW w:w="1424" w:type="dxa"/>
            <w:tcBorders>
              <w:top w:val="nil"/>
              <w:left w:val="nil"/>
              <w:bottom w:val="nil"/>
              <w:right w:val="nil"/>
            </w:tcBorders>
            <w:shd w:val="clear" w:color="000000" w:fill="FFFFFF"/>
            <w:noWrap/>
            <w:vAlign w:val="bottom"/>
            <w:hideMark/>
          </w:tcPr>
          <w:p w14:paraId="54D56D70"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2.5%</w:t>
            </w:r>
          </w:p>
        </w:tc>
        <w:tc>
          <w:tcPr>
            <w:tcW w:w="1537" w:type="dxa"/>
            <w:tcBorders>
              <w:top w:val="nil"/>
              <w:left w:val="nil"/>
              <w:bottom w:val="nil"/>
              <w:right w:val="nil"/>
            </w:tcBorders>
            <w:shd w:val="clear" w:color="000000" w:fill="FFFFFF"/>
            <w:noWrap/>
            <w:vAlign w:val="bottom"/>
            <w:hideMark/>
          </w:tcPr>
          <w:p w14:paraId="1AD4442F"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1.3</w:t>
            </w:r>
          </w:p>
        </w:tc>
        <w:tc>
          <w:tcPr>
            <w:tcW w:w="1529" w:type="dxa"/>
            <w:tcBorders>
              <w:top w:val="nil"/>
              <w:left w:val="nil"/>
              <w:bottom w:val="nil"/>
              <w:right w:val="nil"/>
            </w:tcBorders>
            <w:shd w:val="clear" w:color="000000" w:fill="FFFFFF"/>
            <w:noWrap/>
            <w:vAlign w:val="bottom"/>
            <w:hideMark/>
          </w:tcPr>
          <w:p w14:paraId="5C487CD0"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4.7%</w:t>
            </w:r>
          </w:p>
        </w:tc>
      </w:tr>
      <w:tr w:rsidR="00463687" w:rsidRPr="00463687" w14:paraId="7ECB7B6C" w14:textId="77777777" w:rsidTr="00463687">
        <w:trPr>
          <w:trHeight w:val="267"/>
        </w:trPr>
        <w:tc>
          <w:tcPr>
            <w:tcW w:w="3415" w:type="dxa"/>
            <w:tcBorders>
              <w:top w:val="nil"/>
              <w:left w:val="nil"/>
              <w:bottom w:val="nil"/>
              <w:right w:val="nil"/>
            </w:tcBorders>
            <w:shd w:val="clear" w:color="000000" w:fill="FFFFFF"/>
            <w:noWrap/>
            <w:vAlign w:val="center"/>
            <w:hideMark/>
          </w:tcPr>
          <w:p w14:paraId="032A419B"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Infrastruktura</w:t>
            </w:r>
            <w:proofErr w:type="spellEnd"/>
            <w:r w:rsidRPr="00463687">
              <w:rPr>
                <w:rFonts w:ascii="Cambria" w:eastAsia="Times New Roman" w:hAnsi="Cambria" w:cs="Calibri"/>
                <w:color w:val="000000"/>
                <w:sz w:val="20"/>
                <w:szCs w:val="20"/>
                <w:lang w:val="en-US"/>
              </w:rPr>
              <w:t xml:space="preserve"> Urbane</w:t>
            </w:r>
          </w:p>
        </w:tc>
        <w:tc>
          <w:tcPr>
            <w:tcW w:w="1483" w:type="dxa"/>
            <w:tcBorders>
              <w:top w:val="nil"/>
              <w:left w:val="nil"/>
              <w:bottom w:val="nil"/>
              <w:right w:val="nil"/>
            </w:tcBorders>
            <w:shd w:val="clear" w:color="000000" w:fill="FFFFFF"/>
            <w:noWrap/>
            <w:vAlign w:val="bottom"/>
            <w:hideMark/>
          </w:tcPr>
          <w:p w14:paraId="07238C23"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1.7</w:t>
            </w:r>
          </w:p>
        </w:tc>
        <w:tc>
          <w:tcPr>
            <w:tcW w:w="1424" w:type="dxa"/>
            <w:tcBorders>
              <w:top w:val="nil"/>
              <w:left w:val="nil"/>
              <w:bottom w:val="nil"/>
              <w:right w:val="nil"/>
            </w:tcBorders>
            <w:shd w:val="clear" w:color="000000" w:fill="FFFFFF"/>
            <w:noWrap/>
            <w:vAlign w:val="bottom"/>
            <w:hideMark/>
          </w:tcPr>
          <w:p w14:paraId="79C3D05D"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1.3%</w:t>
            </w:r>
          </w:p>
        </w:tc>
        <w:tc>
          <w:tcPr>
            <w:tcW w:w="1537" w:type="dxa"/>
            <w:tcBorders>
              <w:top w:val="nil"/>
              <w:left w:val="nil"/>
              <w:bottom w:val="nil"/>
              <w:right w:val="nil"/>
            </w:tcBorders>
            <w:shd w:val="clear" w:color="000000" w:fill="FFFFFF"/>
            <w:noWrap/>
            <w:vAlign w:val="bottom"/>
            <w:hideMark/>
          </w:tcPr>
          <w:p w14:paraId="681D72B7"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2.0</w:t>
            </w:r>
          </w:p>
        </w:tc>
        <w:tc>
          <w:tcPr>
            <w:tcW w:w="1529" w:type="dxa"/>
            <w:tcBorders>
              <w:top w:val="nil"/>
              <w:left w:val="nil"/>
              <w:bottom w:val="nil"/>
              <w:right w:val="nil"/>
            </w:tcBorders>
            <w:shd w:val="clear" w:color="000000" w:fill="FFFFFF"/>
            <w:noWrap/>
            <w:vAlign w:val="bottom"/>
            <w:hideMark/>
          </w:tcPr>
          <w:p w14:paraId="4CC6B99C"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7.3%</w:t>
            </w:r>
          </w:p>
        </w:tc>
      </w:tr>
      <w:tr w:rsidR="00463687" w:rsidRPr="00463687" w14:paraId="23DE8BF8" w14:textId="77777777" w:rsidTr="00463687">
        <w:trPr>
          <w:trHeight w:val="267"/>
        </w:trPr>
        <w:tc>
          <w:tcPr>
            <w:tcW w:w="3415" w:type="dxa"/>
            <w:tcBorders>
              <w:top w:val="nil"/>
              <w:left w:val="nil"/>
              <w:bottom w:val="nil"/>
              <w:right w:val="nil"/>
            </w:tcBorders>
            <w:shd w:val="clear" w:color="000000" w:fill="FFFFFF"/>
            <w:noWrap/>
            <w:vAlign w:val="center"/>
            <w:hideMark/>
          </w:tcPr>
          <w:p w14:paraId="5F4AD1B3"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Shëndetësia</w:t>
            </w:r>
            <w:proofErr w:type="spellEnd"/>
          </w:p>
        </w:tc>
        <w:tc>
          <w:tcPr>
            <w:tcW w:w="1483" w:type="dxa"/>
            <w:tcBorders>
              <w:top w:val="nil"/>
              <w:left w:val="nil"/>
              <w:bottom w:val="nil"/>
              <w:right w:val="nil"/>
            </w:tcBorders>
            <w:shd w:val="clear" w:color="000000" w:fill="FFFFFF"/>
            <w:noWrap/>
            <w:vAlign w:val="bottom"/>
            <w:hideMark/>
          </w:tcPr>
          <w:p w14:paraId="545B966B"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0.0</w:t>
            </w:r>
          </w:p>
        </w:tc>
        <w:tc>
          <w:tcPr>
            <w:tcW w:w="1424" w:type="dxa"/>
            <w:tcBorders>
              <w:top w:val="nil"/>
              <w:left w:val="nil"/>
              <w:bottom w:val="nil"/>
              <w:right w:val="nil"/>
            </w:tcBorders>
            <w:shd w:val="clear" w:color="000000" w:fill="FFFFFF"/>
            <w:noWrap/>
            <w:vAlign w:val="bottom"/>
            <w:hideMark/>
          </w:tcPr>
          <w:p w14:paraId="58A67145"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0.0%</w:t>
            </w:r>
          </w:p>
        </w:tc>
        <w:tc>
          <w:tcPr>
            <w:tcW w:w="1537" w:type="dxa"/>
            <w:tcBorders>
              <w:top w:val="nil"/>
              <w:left w:val="nil"/>
              <w:bottom w:val="nil"/>
              <w:right w:val="nil"/>
            </w:tcBorders>
            <w:shd w:val="clear" w:color="000000" w:fill="FFFFFF"/>
            <w:noWrap/>
            <w:vAlign w:val="bottom"/>
            <w:hideMark/>
          </w:tcPr>
          <w:p w14:paraId="04543B36"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1.4</w:t>
            </w:r>
          </w:p>
        </w:tc>
        <w:tc>
          <w:tcPr>
            <w:tcW w:w="1529" w:type="dxa"/>
            <w:tcBorders>
              <w:top w:val="nil"/>
              <w:left w:val="nil"/>
              <w:bottom w:val="nil"/>
              <w:right w:val="nil"/>
            </w:tcBorders>
            <w:shd w:val="clear" w:color="000000" w:fill="FFFFFF"/>
            <w:noWrap/>
            <w:vAlign w:val="bottom"/>
            <w:hideMark/>
          </w:tcPr>
          <w:p w14:paraId="2E70439C"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5.0%</w:t>
            </w:r>
          </w:p>
        </w:tc>
      </w:tr>
      <w:tr w:rsidR="00463687" w:rsidRPr="00463687" w14:paraId="6BD9229B" w14:textId="77777777" w:rsidTr="00463687">
        <w:trPr>
          <w:trHeight w:val="267"/>
        </w:trPr>
        <w:tc>
          <w:tcPr>
            <w:tcW w:w="3415" w:type="dxa"/>
            <w:tcBorders>
              <w:top w:val="nil"/>
              <w:left w:val="nil"/>
              <w:bottom w:val="nil"/>
              <w:right w:val="nil"/>
            </w:tcBorders>
            <w:shd w:val="clear" w:color="000000" w:fill="FFFFFF"/>
            <w:noWrap/>
            <w:vAlign w:val="center"/>
            <w:hideMark/>
          </w:tcPr>
          <w:p w14:paraId="2BAC69D5" w14:textId="77777777" w:rsidR="00463687" w:rsidRPr="00463687" w:rsidRDefault="00463687" w:rsidP="00463687">
            <w:pPr>
              <w:spacing w:after="0" w:line="240" w:lineRule="auto"/>
              <w:rPr>
                <w:rFonts w:ascii="Cambria" w:eastAsia="Times New Roman" w:hAnsi="Cambria" w:cs="Calibri"/>
                <w:color w:val="000000"/>
                <w:sz w:val="20"/>
                <w:szCs w:val="20"/>
                <w:lang w:val="en-US"/>
              </w:rPr>
            </w:pPr>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Të</w:t>
            </w:r>
            <w:proofErr w:type="spellEnd"/>
            <w:r w:rsidRPr="00463687">
              <w:rPr>
                <w:rFonts w:ascii="Cambria" w:eastAsia="Times New Roman" w:hAnsi="Cambria" w:cs="Calibri"/>
                <w:color w:val="000000"/>
                <w:sz w:val="20"/>
                <w:szCs w:val="20"/>
                <w:lang w:val="en-US"/>
              </w:rPr>
              <w:t xml:space="preserve"> </w:t>
            </w:r>
            <w:proofErr w:type="spellStart"/>
            <w:r w:rsidRPr="00463687">
              <w:rPr>
                <w:rFonts w:ascii="Cambria" w:eastAsia="Times New Roman" w:hAnsi="Cambria" w:cs="Calibri"/>
                <w:color w:val="000000"/>
                <w:sz w:val="20"/>
                <w:szCs w:val="20"/>
                <w:lang w:val="en-US"/>
              </w:rPr>
              <w:t>Tjera</w:t>
            </w:r>
            <w:proofErr w:type="spellEnd"/>
          </w:p>
        </w:tc>
        <w:tc>
          <w:tcPr>
            <w:tcW w:w="1483" w:type="dxa"/>
            <w:tcBorders>
              <w:top w:val="nil"/>
              <w:left w:val="nil"/>
              <w:bottom w:val="nil"/>
              <w:right w:val="nil"/>
            </w:tcBorders>
            <w:shd w:val="clear" w:color="000000" w:fill="FFFFFF"/>
            <w:noWrap/>
            <w:vAlign w:val="bottom"/>
            <w:hideMark/>
          </w:tcPr>
          <w:p w14:paraId="1064E7D3"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2.2</w:t>
            </w:r>
          </w:p>
        </w:tc>
        <w:tc>
          <w:tcPr>
            <w:tcW w:w="1424" w:type="dxa"/>
            <w:tcBorders>
              <w:top w:val="nil"/>
              <w:left w:val="nil"/>
              <w:bottom w:val="nil"/>
              <w:right w:val="nil"/>
            </w:tcBorders>
            <w:shd w:val="clear" w:color="000000" w:fill="FFFFFF"/>
            <w:noWrap/>
            <w:vAlign w:val="bottom"/>
            <w:hideMark/>
          </w:tcPr>
          <w:p w14:paraId="0A1E3C28"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1.6%</w:t>
            </w:r>
          </w:p>
        </w:tc>
        <w:tc>
          <w:tcPr>
            <w:tcW w:w="1537" w:type="dxa"/>
            <w:tcBorders>
              <w:top w:val="nil"/>
              <w:left w:val="nil"/>
              <w:bottom w:val="nil"/>
              <w:right w:val="nil"/>
            </w:tcBorders>
            <w:shd w:val="clear" w:color="000000" w:fill="FFFFFF"/>
            <w:noWrap/>
            <w:vAlign w:val="bottom"/>
            <w:hideMark/>
          </w:tcPr>
          <w:p w14:paraId="44F68E57" w14:textId="10C89AD3" w:rsidR="00463687" w:rsidRPr="00463687" w:rsidRDefault="00463687" w:rsidP="00463687">
            <w:pPr>
              <w:spacing w:after="0" w:line="240" w:lineRule="auto"/>
              <w:jc w:val="right"/>
              <w:rPr>
                <w:rFonts w:ascii="Cambria" w:eastAsia="Times New Roman" w:hAnsi="Cambria" w:cs="Calibri"/>
                <w:sz w:val="20"/>
                <w:szCs w:val="20"/>
                <w:lang w:val="en-US"/>
              </w:rPr>
            </w:pPr>
            <w:r>
              <w:rPr>
                <w:rFonts w:ascii="Cambria" w:eastAsia="Times New Roman" w:hAnsi="Cambria" w:cs="Calibri"/>
                <w:sz w:val="20"/>
                <w:szCs w:val="20"/>
                <w:lang w:val="en-US"/>
              </w:rPr>
              <w:t>0.2</w:t>
            </w:r>
          </w:p>
        </w:tc>
        <w:tc>
          <w:tcPr>
            <w:tcW w:w="1529" w:type="dxa"/>
            <w:tcBorders>
              <w:top w:val="nil"/>
              <w:left w:val="nil"/>
              <w:bottom w:val="nil"/>
              <w:right w:val="nil"/>
            </w:tcBorders>
            <w:shd w:val="clear" w:color="000000" w:fill="FFFFFF"/>
            <w:noWrap/>
            <w:vAlign w:val="bottom"/>
            <w:hideMark/>
          </w:tcPr>
          <w:p w14:paraId="41BF8835" w14:textId="77777777" w:rsidR="00463687" w:rsidRPr="00463687" w:rsidRDefault="00463687" w:rsidP="00463687">
            <w:pPr>
              <w:spacing w:after="0" w:line="240" w:lineRule="auto"/>
              <w:jc w:val="right"/>
              <w:rPr>
                <w:rFonts w:ascii="Cambria" w:eastAsia="Times New Roman" w:hAnsi="Cambria" w:cs="Calibri"/>
                <w:sz w:val="20"/>
                <w:szCs w:val="20"/>
                <w:lang w:val="en-US"/>
              </w:rPr>
            </w:pPr>
            <w:r w:rsidRPr="00463687">
              <w:rPr>
                <w:rFonts w:ascii="Cambria" w:eastAsia="Times New Roman" w:hAnsi="Cambria" w:cs="Calibri"/>
                <w:sz w:val="20"/>
                <w:szCs w:val="20"/>
                <w:lang w:val="en-US"/>
              </w:rPr>
              <w:t>0.5%</w:t>
            </w:r>
          </w:p>
        </w:tc>
      </w:tr>
      <w:tr w:rsidR="00463687" w:rsidRPr="00463687" w14:paraId="20711259" w14:textId="77777777" w:rsidTr="00463687">
        <w:trPr>
          <w:trHeight w:val="267"/>
        </w:trPr>
        <w:tc>
          <w:tcPr>
            <w:tcW w:w="3415" w:type="dxa"/>
            <w:tcBorders>
              <w:top w:val="nil"/>
              <w:left w:val="nil"/>
              <w:bottom w:val="nil"/>
              <w:right w:val="nil"/>
            </w:tcBorders>
            <w:shd w:val="clear" w:color="000000" w:fill="FFFFFF"/>
            <w:noWrap/>
            <w:vAlign w:val="center"/>
            <w:hideMark/>
          </w:tcPr>
          <w:p w14:paraId="04118DD9" w14:textId="77777777" w:rsidR="00463687" w:rsidRPr="00463687" w:rsidRDefault="00463687" w:rsidP="00463687">
            <w:pPr>
              <w:spacing w:after="0" w:line="240" w:lineRule="auto"/>
              <w:rPr>
                <w:rFonts w:ascii="Cambria" w:eastAsia="Times New Roman" w:hAnsi="Cambria" w:cs="Calibri"/>
                <w:b/>
                <w:bCs/>
                <w:color w:val="000000"/>
                <w:sz w:val="20"/>
                <w:szCs w:val="20"/>
                <w:lang w:val="en-US"/>
              </w:rPr>
            </w:pPr>
            <w:proofErr w:type="spellStart"/>
            <w:r w:rsidRPr="00463687">
              <w:rPr>
                <w:rFonts w:ascii="Cambria" w:eastAsia="Times New Roman" w:hAnsi="Cambria" w:cs="Calibri"/>
                <w:b/>
                <w:bCs/>
                <w:color w:val="000000"/>
                <w:sz w:val="20"/>
                <w:szCs w:val="20"/>
                <w:lang w:val="en-US"/>
              </w:rPr>
              <w:t>Mbështetje</w:t>
            </w:r>
            <w:proofErr w:type="spellEnd"/>
            <w:r w:rsidRPr="00463687">
              <w:rPr>
                <w:rFonts w:ascii="Cambria" w:eastAsia="Times New Roman" w:hAnsi="Cambria" w:cs="Calibri"/>
                <w:b/>
                <w:bCs/>
                <w:color w:val="000000"/>
                <w:sz w:val="20"/>
                <w:szCs w:val="20"/>
                <w:lang w:val="en-US"/>
              </w:rPr>
              <w:t xml:space="preserve"> </w:t>
            </w:r>
            <w:proofErr w:type="spellStart"/>
            <w:r w:rsidRPr="00463687">
              <w:rPr>
                <w:rFonts w:ascii="Cambria" w:eastAsia="Times New Roman" w:hAnsi="Cambria" w:cs="Calibri"/>
                <w:b/>
                <w:bCs/>
                <w:color w:val="000000"/>
                <w:sz w:val="20"/>
                <w:szCs w:val="20"/>
                <w:lang w:val="en-US"/>
              </w:rPr>
              <w:t>Buxhetore</w:t>
            </w:r>
            <w:proofErr w:type="spellEnd"/>
          </w:p>
        </w:tc>
        <w:tc>
          <w:tcPr>
            <w:tcW w:w="1483" w:type="dxa"/>
            <w:tcBorders>
              <w:top w:val="nil"/>
              <w:left w:val="nil"/>
              <w:bottom w:val="nil"/>
              <w:right w:val="nil"/>
            </w:tcBorders>
            <w:shd w:val="clear" w:color="000000" w:fill="FFFFFF"/>
            <w:noWrap/>
            <w:vAlign w:val="bottom"/>
            <w:hideMark/>
          </w:tcPr>
          <w:p w14:paraId="307B62EC"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42.6</w:t>
            </w:r>
          </w:p>
        </w:tc>
        <w:tc>
          <w:tcPr>
            <w:tcW w:w="1424" w:type="dxa"/>
            <w:tcBorders>
              <w:top w:val="nil"/>
              <w:left w:val="nil"/>
              <w:bottom w:val="nil"/>
              <w:right w:val="nil"/>
            </w:tcBorders>
            <w:shd w:val="clear" w:color="000000" w:fill="FFFFFF"/>
            <w:noWrap/>
            <w:vAlign w:val="bottom"/>
            <w:hideMark/>
          </w:tcPr>
          <w:p w14:paraId="088ECE35"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31.3%</w:t>
            </w:r>
          </w:p>
        </w:tc>
        <w:tc>
          <w:tcPr>
            <w:tcW w:w="1537" w:type="dxa"/>
            <w:tcBorders>
              <w:top w:val="nil"/>
              <w:left w:val="nil"/>
              <w:bottom w:val="nil"/>
              <w:right w:val="nil"/>
            </w:tcBorders>
            <w:shd w:val="clear" w:color="000000" w:fill="FFFFFF"/>
            <w:noWrap/>
            <w:vAlign w:val="bottom"/>
            <w:hideMark/>
          </w:tcPr>
          <w:p w14:paraId="69896BE4"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17.1</w:t>
            </w:r>
          </w:p>
        </w:tc>
        <w:tc>
          <w:tcPr>
            <w:tcW w:w="1529" w:type="dxa"/>
            <w:tcBorders>
              <w:top w:val="nil"/>
              <w:left w:val="nil"/>
              <w:bottom w:val="nil"/>
              <w:right w:val="nil"/>
            </w:tcBorders>
            <w:shd w:val="clear" w:color="000000" w:fill="FFFFFF"/>
            <w:noWrap/>
            <w:vAlign w:val="bottom"/>
            <w:hideMark/>
          </w:tcPr>
          <w:p w14:paraId="57FD0336"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60.7%</w:t>
            </w:r>
          </w:p>
        </w:tc>
      </w:tr>
      <w:tr w:rsidR="00463687" w:rsidRPr="00463687" w14:paraId="453ADFEE" w14:textId="77777777" w:rsidTr="00463687">
        <w:trPr>
          <w:trHeight w:val="280"/>
        </w:trPr>
        <w:tc>
          <w:tcPr>
            <w:tcW w:w="3415" w:type="dxa"/>
            <w:tcBorders>
              <w:top w:val="nil"/>
              <w:left w:val="nil"/>
              <w:bottom w:val="nil"/>
              <w:right w:val="nil"/>
            </w:tcBorders>
            <w:shd w:val="clear" w:color="000000" w:fill="FFFFFF"/>
            <w:noWrap/>
            <w:vAlign w:val="center"/>
            <w:hideMark/>
          </w:tcPr>
          <w:p w14:paraId="2CD9B11B" w14:textId="77777777" w:rsidR="00463687" w:rsidRPr="00463687" w:rsidRDefault="00463687" w:rsidP="00463687">
            <w:pPr>
              <w:spacing w:after="0" w:line="240" w:lineRule="auto"/>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Eurobond</w:t>
            </w:r>
          </w:p>
        </w:tc>
        <w:tc>
          <w:tcPr>
            <w:tcW w:w="1483" w:type="dxa"/>
            <w:tcBorders>
              <w:top w:val="nil"/>
              <w:left w:val="nil"/>
              <w:bottom w:val="nil"/>
              <w:right w:val="nil"/>
            </w:tcBorders>
            <w:shd w:val="clear" w:color="000000" w:fill="FFFFFF"/>
            <w:noWrap/>
            <w:vAlign w:val="bottom"/>
            <w:hideMark/>
          </w:tcPr>
          <w:p w14:paraId="366C2B4E"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77.2</w:t>
            </w:r>
          </w:p>
        </w:tc>
        <w:tc>
          <w:tcPr>
            <w:tcW w:w="1424" w:type="dxa"/>
            <w:tcBorders>
              <w:top w:val="nil"/>
              <w:left w:val="nil"/>
              <w:bottom w:val="nil"/>
              <w:right w:val="nil"/>
            </w:tcBorders>
            <w:shd w:val="clear" w:color="000000" w:fill="FFFFFF"/>
            <w:noWrap/>
            <w:vAlign w:val="bottom"/>
            <w:hideMark/>
          </w:tcPr>
          <w:p w14:paraId="6EC628A6"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56.7%</w:t>
            </w:r>
          </w:p>
        </w:tc>
        <w:tc>
          <w:tcPr>
            <w:tcW w:w="1537" w:type="dxa"/>
            <w:tcBorders>
              <w:top w:val="nil"/>
              <w:left w:val="nil"/>
              <w:bottom w:val="nil"/>
              <w:right w:val="nil"/>
            </w:tcBorders>
            <w:shd w:val="clear" w:color="000000" w:fill="FFFFFF"/>
            <w:noWrap/>
            <w:vAlign w:val="bottom"/>
            <w:hideMark/>
          </w:tcPr>
          <w:p w14:paraId="431255ED"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0.0</w:t>
            </w:r>
          </w:p>
        </w:tc>
        <w:tc>
          <w:tcPr>
            <w:tcW w:w="1529" w:type="dxa"/>
            <w:tcBorders>
              <w:top w:val="nil"/>
              <w:left w:val="nil"/>
              <w:bottom w:val="nil"/>
              <w:right w:val="nil"/>
            </w:tcBorders>
            <w:shd w:val="clear" w:color="000000" w:fill="FFFFFF"/>
            <w:noWrap/>
            <w:vAlign w:val="bottom"/>
            <w:hideMark/>
          </w:tcPr>
          <w:p w14:paraId="3177350C" w14:textId="77777777" w:rsidR="00463687" w:rsidRPr="00463687" w:rsidRDefault="00463687" w:rsidP="00463687">
            <w:pPr>
              <w:spacing w:after="0" w:line="240" w:lineRule="auto"/>
              <w:jc w:val="right"/>
              <w:rPr>
                <w:rFonts w:ascii="Cambria" w:eastAsia="Times New Roman" w:hAnsi="Cambria" w:cs="Calibri"/>
                <w:b/>
                <w:bCs/>
                <w:sz w:val="20"/>
                <w:szCs w:val="20"/>
                <w:lang w:val="en-US"/>
              </w:rPr>
            </w:pPr>
            <w:r w:rsidRPr="00463687">
              <w:rPr>
                <w:rFonts w:ascii="Cambria" w:eastAsia="Times New Roman" w:hAnsi="Cambria" w:cs="Calibri"/>
                <w:b/>
                <w:bCs/>
                <w:sz w:val="20"/>
                <w:szCs w:val="20"/>
                <w:lang w:val="en-US"/>
              </w:rPr>
              <w:t>0.0%</w:t>
            </w:r>
          </w:p>
        </w:tc>
      </w:tr>
      <w:tr w:rsidR="00463687" w:rsidRPr="00463687" w14:paraId="690F3D3E" w14:textId="77777777" w:rsidTr="00463687">
        <w:trPr>
          <w:trHeight w:val="280"/>
        </w:trPr>
        <w:tc>
          <w:tcPr>
            <w:tcW w:w="3415" w:type="dxa"/>
            <w:tcBorders>
              <w:top w:val="single" w:sz="8" w:space="0" w:color="auto"/>
              <w:left w:val="nil"/>
              <w:bottom w:val="single" w:sz="8" w:space="0" w:color="auto"/>
              <w:right w:val="nil"/>
            </w:tcBorders>
            <w:shd w:val="clear" w:color="000000" w:fill="FFFFFF"/>
            <w:noWrap/>
            <w:vAlign w:val="center"/>
            <w:hideMark/>
          </w:tcPr>
          <w:p w14:paraId="7EAD8DBE" w14:textId="77777777" w:rsidR="00463687" w:rsidRPr="00463687" w:rsidRDefault="00463687" w:rsidP="00463687">
            <w:pPr>
              <w:spacing w:after="0" w:line="240" w:lineRule="auto"/>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 xml:space="preserve">Total </w:t>
            </w:r>
            <w:proofErr w:type="spellStart"/>
            <w:r w:rsidRPr="00463687">
              <w:rPr>
                <w:rFonts w:ascii="Cambria" w:eastAsia="Times New Roman" w:hAnsi="Cambria" w:cs="Calibri"/>
                <w:b/>
                <w:bCs/>
                <w:color w:val="000000"/>
                <w:sz w:val="20"/>
                <w:szCs w:val="20"/>
                <w:lang w:val="en-US"/>
              </w:rPr>
              <w:t>Huamarrja</w:t>
            </w:r>
            <w:proofErr w:type="spellEnd"/>
            <w:r w:rsidRPr="00463687">
              <w:rPr>
                <w:rFonts w:ascii="Cambria" w:eastAsia="Times New Roman" w:hAnsi="Cambria" w:cs="Calibri"/>
                <w:b/>
                <w:bCs/>
                <w:color w:val="000000"/>
                <w:sz w:val="20"/>
                <w:szCs w:val="20"/>
                <w:lang w:val="en-US"/>
              </w:rPr>
              <w:t xml:space="preserve"> e </w:t>
            </w:r>
            <w:proofErr w:type="spellStart"/>
            <w:r w:rsidRPr="00463687">
              <w:rPr>
                <w:rFonts w:ascii="Cambria" w:eastAsia="Times New Roman" w:hAnsi="Cambria" w:cs="Calibri"/>
                <w:b/>
                <w:bCs/>
                <w:color w:val="000000"/>
                <w:sz w:val="20"/>
                <w:szCs w:val="20"/>
                <w:lang w:val="en-US"/>
              </w:rPr>
              <w:t>Huaj</w:t>
            </w:r>
            <w:proofErr w:type="spellEnd"/>
          </w:p>
        </w:tc>
        <w:tc>
          <w:tcPr>
            <w:tcW w:w="1483" w:type="dxa"/>
            <w:tcBorders>
              <w:top w:val="single" w:sz="8" w:space="0" w:color="auto"/>
              <w:left w:val="nil"/>
              <w:bottom w:val="single" w:sz="8" w:space="0" w:color="auto"/>
              <w:right w:val="nil"/>
            </w:tcBorders>
            <w:shd w:val="clear" w:color="000000" w:fill="FFFFFF"/>
            <w:noWrap/>
            <w:vAlign w:val="bottom"/>
            <w:hideMark/>
          </w:tcPr>
          <w:p w14:paraId="63239B85" w14:textId="7777777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136.1</w:t>
            </w:r>
          </w:p>
        </w:tc>
        <w:tc>
          <w:tcPr>
            <w:tcW w:w="1424" w:type="dxa"/>
            <w:tcBorders>
              <w:top w:val="single" w:sz="8" w:space="0" w:color="auto"/>
              <w:left w:val="nil"/>
              <w:bottom w:val="single" w:sz="8" w:space="0" w:color="auto"/>
              <w:right w:val="nil"/>
            </w:tcBorders>
            <w:shd w:val="clear" w:color="000000" w:fill="FFFFFF"/>
            <w:noWrap/>
            <w:vAlign w:val="bottom"/>
            <w:hideMark/>
          </w:tcPr>
          <w:p w14:paraId="681233ED" w14:textId="7777777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100.0%</w:t>
            </w:r>
          </w:p>
        </w:tc>
        <w:tc>
          <w:tcPr>
            <w:tcW w:w="1537" w:type="dxa"/>
            <w:tcBorders>
              <w:top w:val="single" w:sz="8" w:space="0" w:color="auto"/>
              <w:left w:val="nil"/>
              <w:bottom w:val="single" w:sz="8" w:space="0" w:color="auto"/>
              <w:right w:val="nil"/>
            </w:tcBorders>
            <w:shd w:val="clear" w:color="000000" w:fill="FFFFFF"/>
            <w:noWrap/>
            <w:vAlign w:val="bottom"/>
            <w:hideMark/>
          </w:tcPr>
          <w:p w14:paraId="1D5EF98B" w14:textId="1EB489F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Pr>
                <w:rFonts w:ascii="Cambria" w:eastAsia="Times New Roman" w:hAnsi="Cambria" w:cs="Calibri"/>
                <w:b/>
                <w:bCs/>
                <w:color w:val="000000"/>
                <w:sz w:val="20"/>
                <w:szCs w:val="20"/>
                <w:lang w:val="en-US"/>
              </w:rPr>
              <w:t>28.3</w:t>
            </w:r>
          </w:p>
        </w:tc>
        <w:tc>
          <w:tcPr>
            <w:tcW w:w="1529" w:type="dxa"/>
            <w:tcBorders>
              <w:top w:val="single" w:sz="8" w:space="0" w:color="auto"/>
              <w:left w:val="nil"/>
              <w:bottom w:val="single" w:sz="8" w:space="0" w:color="auto"/>
              <w:right w:val="nil"/>
            </w:tcBorders>
            <w:shd w:val="clear" w:color="000000" w:fill="FFFFFF"/>
            <w:noWrap/>
            <w:vAlign w:val="bottom"/>
            <w:hideMark/>
          </w:tcPr>
          <w:p w14:paraId="5F98194B" w14:textId="77777777" w:rsidR="00463687" w:rsidRPr="00463687" w:rsidRDefault="00463687" w:rsidP="00463687">
            <w:pPr>
              <w:spacing w:after="0" w:line="240" w:lineRule="auto"/>
              <w:jc w:val="right"/>
              <w:rPr>
                <w:rFonts w:ascii="Cambria" w:eastAsia="Times New Roman" w:hAnsi="Cambria" w:cs="Calibri"/>
                <w:b/>
                <w:bCs/>
                <w:color w:val="000000"/>
                <w:sz w:val="20"/>
                <w:szCs w:val="20"/>
                <w:lang w:val="en-US"/>
              </w:rPr>
            </w:pPr>
            <w:r w:rsidRPr="00463687">
              <w:rPr>
                <w:rFonts w:ascii="Cambria" w:eastAsia="Times New Roman" w:hAnsi="Cambria" w:cs="Calibri"/>
                <w:b/>
                <w:bCs/>
                <w:color w:val="000000"/>
                <w:sz w:val="20"/>
                <w:szCs w:val="20"/>
                <w:lang w:val="en-US"/>
              </w:rPr>
              <w:t>100.0%</w:t>
            </w:r>
          </w:p>
        </w:tc>
      </w:tr>
    </w:tbl>
    <w:p w14:paraId="68359425" w14:textId="350F2DBF" w:rsidR="00AA203D" w:rsidRPr="00A80F7C" w:rsidRDefault="00463687" w:rsidP="00463687">
      <w:pPr>
        <w:tabs>
          <w:tab w:val="left" w:pos="1182"/>
        </w:tabs>
        <w:spacing w:after="0" w:line="276" w:lineRule="auto"/>
        <w:ind w:right="-188"/>
        <w:jc w:val="center"/>
        <w:rPr>
          <w:rFonts w:ascii="Cambria" w:hAnsi="Cambria" w:cs="Times New Roman"/>
          <w:b/>
          <w:noProof/>
          <w:sz w:val="20"/>
          <w:szCs w:val="20"/>
        </w:rPr>
      </w:pPr>
      <w:r>
        <w:rPr>
          <w:rFonts w:ascii="Cambria" w:hAnsi="Cambria" w:cs="Times New Roman"/>
          <w:b/>
          <w:noProof/>
          <w:sz w:val="20"/>
          <w:szCs w:val="20"/>
        </w:rPr>
        <w:fldChar w:fldCharType="end"/>
      </w:r>
      <w:r w:rsidR="00AA203D" w:rsidRPr="005F7575">
        <w:rPr>
          <w:rFonts w:ascii="Cambria" w:hAnsi="Cambria" w:cs="Times New Roman"/>
          <w:b/>
          <w:noProof/>
          <w:sz w:val="20"/>
          <w:szCs w:val="20"/>
        </w:rPr>
        <w:t xml:space="preserve">Burimi: </w:t>
      </w:r>
      <w:r w:rsidR="00AA203D" w:rsidRPr="005F7575">
        <w:rPr>
          <w:rFonts w:ascii="Cambria" w:hAnsi="Cambria" w:cs="Times New Roman"/>
          <w:i/>
          <w:noProof/>
          <w:sz w:val="20"/>
          <w:szCs w:val="20"/>
        </w:rPr>
        <w:t>Ministria e Financave dhe Ekonomisë (202</w:t>
      </w:r>
      <w:r>
        <w:rPr>
          <w:rFonts w:ascii="Cambria" w:hAnsi="Cambria" w:cs="Times New Roman"/>
          <w:i/>
          <w:noProof/>
          <w:sz w:val="20"/>
          <w:szCs w:val="20"/>
        </w:rPr>
        <w:t>3</w:t>
      </w:r>
      <w:r w:rsidR="00AA203D" w:rsidRPr="005F7575">
        <w:rPr>
          <w:rFonts w:ascii="Cambria" w:hAnsi="Cambria" w:cs="Times New Roman"/>
          <w:i/>
          <w:noProof/>
          <w:sz w:val="20"/>
          <w:szCs w:val="20"/>
        </w:rPr>
        <w:t>)</w:t>
      </w:r>
    </w:p>
    <w:p w14:paraId="6A8148BF" w14:textId="77777777" w:rsidR="00113426" w:rsidRPr="005F7575" w:rsidRDefault="00113426" w:rsidP="00B92540">
      <w:pPr>
        <w:tabs>
          <w:tab w:val="left" w:pos="1719"/>
        </w:tabs>
        <w:spacing w:after="0" w:line="276" w:lineRule="auto"/>
        <w:ind w:right="-188"/>
        <w:jc w:val="both"/>
        <w:rPr>
          <w:rFonts w:ascii="Times New Roman" w:eastAsia="Calibri" w:hAnsi="Times New Roman" w:cs="Times New Roman"/>
          <w:noProof/>
          <w:sz w:val="24"/>
          <w:szCs w:val="24"/>
        </w:rPr>
      </w:pPr>
    </w:p>
    <w:p w14:paraId="227EDF3F" w14:textId="3EBF5BFC" w:rsidR="00372E7D" w:rsidRPr="004900A0" w:rsidRDefault="00556DBE" w:rsidP="004900A0">
      <w:pPr>
        <w:pStyle w:val="Heading1"/>
        <w:numPr>
          <w:ilvl w:val="0"/>
          <w:numId w:val="5"/>
        </w:numPr>
        <w:spacing w:before="0" w:after="240" w:line="276" w:lineRule="auto"/>
        <w:ind w:left="426" w:right="-188" w:hanging="426"/>
        <w:jc w:val="both"/>
        <w:rPr>
          <w:rFonts w:ascii="Cambria" w:hAnsi="Cambria"/>
          <w:color w:val="C00000"/>
          <w:sz w:val="24"/>
          <w:szCs w:val="24"/>
        </w:rPr>
      </w:pPr>
      <w:bookmarkStart w:id="11" w:name="_Toc34645067"/>
      <w:r w:rsidRPr="005F7575">
        <w:rPr>
          <w:rFonts w:ascii="Cambria" w:hAnsi="Cambria"/>
          <w:color w:val="C00000"/>
          <w:sz w:val="24"/>
          <w:szCs w:val="24"/>
        </w:rPr>
        <w:t>Kosto</w:t>
      </w:r>
      <w:r w:rsidR="00B1244A" w:rsidRPr="005F7575">
        <w:rPr>
          <w:rFonts w:ascii="Cambria" w:hAnsi="Cambria"/>
          <w:color w:val="C00000"/>
          <w:sz w:val="24"/>
          <w:szCs w:val="24"/>
        </w:rPr>
        <w:t xml:space="preserve"> dhe Risqet</w:t>
      </w:r>
      <w:bookmarkEnd w:id="11"/>
    </w:p>
    <w:p w14:paraId="78473166" w14:textId="77777777" w:rsidR="00372E7D" w:rsidRDefault="00372E7D" w:rsidP="00BC5BC9">
      <w:pPr>
        <w:pStyle w:val="Heading2"/>
        <w:numPr>
          <w:ilvl w:val="1"/>
          <w:numId w:val="5"/>
        </w:numPr>
        <w:spacing w:before="0" w:after="240" w:line="276" w:lineRule="auto"/>
        <w:ind w:left="567" w:right="-46" w:hanging="567"/>
        <w:jc w:val="both"/>
        <w:rPr>
          <w:rFonts w:ascii="Cambria" w:hAnsi="Cambria"/>
          <w:noProof/>
          <w:color w:val="FF0000"/>
        </w:rPr>
      </w:pPr>
      <w:bookmarkStart w:id="12" w:name="_Toc34645068"/>
      <w:r w:rsidRPr="005F7575">
        <w:rPr>
          <w:rFonts w:ascii="Cambria" w:hAnsi="Cambria"/>
          <w:noProof/>
          <w:color w:val="auto"/>
        </w:rPr>
        <w:t>Kosto</w:t>
      </w:r>
      <w:bookmarkEnd w:id="12"/>
      <w:r w:rsidR="00E227B8" w:rsidRPr="005F7575">
        <w:rPr>
          <w:rFonts w:ascii="Cambria" w:hAnsi="Cambria"/>
          <w:noProof/>
          <w:color w:val="FF0000"/>
        </w:rPr>
        <w:t xml:space="preserve"> </w:t>
      </w:r>
    </w:p>
    <w:p w14:paraId="253033DF" w14:textId="2DEF342D" w:rsidR="0051067F" w:rsidRPr="0051067F" w:rsidRDefault="0051067F" w:rsidP="006D6418">
      <w:pPr>
        <w:ind w:right="-176"/>
        <w:jc w:val="both"/>
        <w:rPr>
          <w:rFonts w:ascii="Times New Roman" w:hAnsi="Times New Roman" w:cs="Times New Roman"/>
          <w:noProof/>
          <w:color w:val="000000"/>
          <w:sz w:val="24"/>
          <w:szCs w:val="23"/>
        </w:rPr>
      </w:pPr>
      <w:r w:rsidRPr="0051067F">
        <w:rPr>
          <w:rFonts w:ascii="Times New Roman" w:hAnsi="Times New Roman" w:cs="Times New Roman"/>
          <w:noProof/>
          <w:color w:val="000000"/>
          <w:sz w:val="24"/>
          <w:szCs w:val="23"/>
        </w:rPr>
        <w:t xml:space="preserve">Për sa i përket raporteve të kostos dhe riskut në portofolin e borxhit, në kushtet ku viti 2022 ka qenë një vit jo i zakonshëm, i ndikuar nga zhvillime jo të favorshme në tregjet financiare, ndër të cilat ritheksojmë rritjen e normës bazë të interesit brenda vendit nga Banka Qendrore, politikë e cila është ndjekur gjithashtu edhe nga autoritetet ndërkombëtare monetare, portofoli i borxhit të brendshëm është arritur të menaxhohet duke mbajtur kostot në nivelin më të ulët të mundshëm sipas kushteve të tregut, ndërkohë </w:t>
      </w:r>
      <w:r w:rsidR="00415917">
        <w:rPr>
          <w:rFonts w:ascii="Times New Roman" w:hAnsi="Times New Roman" w:cs="Times New Roman"/>
          <w:noProof/>
          <w:color w:val="000000"/>
          <w:sz w:val="24"/>
          <w:szCs w:val="23"/>
        </w:rPr>
        <w:t xml:space="preserve">që një pjesë e mirë e </w:t>
      </w:r>
      <w:r w:rsidR="00415917" w:rsidRPr="0051067F">
        <w:rPr>
          <w:rFonts w:ascii="Times New Roman" w:hAnsi="Times New Roman" w:cs="Times New Roman"/>
          <w:noProof/>
          <w:color w:val="000000"/>
          <w:sz w:val="24"/>
          <w:szCs w:val="23"/>
        </w:rPr>
        <w:t>tregues</w:t>
      </w:r>
      <w:r w:rsidR="00415917">
        <w:rPr>
          <w:rFonts w:ascii="Times New Roman" w:hAnsi="Times New Roman" w:cs="Times New Roman"/>
          <w:noProof/>
          <w:color w:val="000000"/>
          <w:sz w:val="24"/>
          <w:szCs w:val="23"/>
        </w:rPr>
        <w:t>ve</w:t>
      </w:r>
      <w:r w:rsidR="00415917" w:rsidRPr="0051067F">
        <w:rPr>
          <w:rFonts w:ascii="Times New Roman" w:hAnsi="Times New Roman" w:cs="Times New Roman"/>
          <w:noProof/>
          <w:color w:val="000000"/>
          <w:sz w:val="24"/>
          <w:szCs w:val="23"/>
        </w:rPr>
        <w:t xml:space="preserve"> </w:t>
      </w:r>
      <w:r w:rsidR="00415917">
        <w:rPr>
          <w:rFonts w:ascii="Times New Roman" w:hAnsi="Times New Roman" w:cs="Times New Roman"/>
          <w:noProof/>
          <w:color w:val="000000"/>
          <w:sz w:val="24"/>
          <w:szCs w:val="23"/>
        </w:rPr>
        <w:t>të</w:t>
      </w:r>
      <w:r w:rsidR="00415917" w:rsidRPr="0051067F">
        <w:rPr>
          <w:rFonts w:ascii="Times New Roman" w:hAnsi="Times New Roman" w:cs="Times New Roman"/>
          <w:noProof/>
          <w:color w:val="000000"/>
          <w:sz w:val="24"/>
          <w:szCs w:val="23"/>
        </w:rPr>
        <w:t xml:space="preserve"> </w:t>
      </w:r>
      <w:r w:rsidRPr="0051067F">
        <w:rPr>
          <w:rFonts w:ascii="Times New Roman" w:hAnsi="Times New Roman" w:cs="Times New Roman"/>
          <w:noProof/>
          <w:color w:val="000000"/>
          <w:sz w:val="24"/>
          <w:szCs w:val="23"/>
        </w:rPr>
        <w:t xml:space="preserve">riskut kanë shfaqur një përkeqësim të </w:t>
      </w:r>
      <w:r w:rsidR="00415917">
        <w:rPr>
          <w:rFonts w:ascii="Times New Roman" w:hAnsi="Times New Roman" w:cs="Times New Roman"/>
          <w:noProof/>
          <w:color w:val="000000"/>
          <w:sz w:val="24"/>
          <w:szCs w:val="23"/>
        </w:rPr>
        <w:t xml:space="preserve">lehtë dhe që vlerësohet të jetë i </w:t>
      </w:r>
      <w:r w:rsidRPr="0051067F">
        <w:rPr>
          <w:rFonts w:ascii="Times New Roman" w:hAnsi="Times New Roman" w:cs="Times New Roman"/>
          <w:noProof/>
          <w:color w:val="000000"/>
          <w:sz w:val="24"/>
          <w:szCs w:val="23"/>
        </w:rPr>
        <w:t>përkohshëm.</w:t>
      </w:r>
    </w:p>
    <w:p w14:paraId="764F7E1E" w14:textId="44E5F4C2" w:rsidR="0051067F" w:rsidRPr="0051067F" w:rsidRDefault="0051067F" w:rsidP="0051067F">
      <w:pPr>
        <w:tabs>
          <w:tab w:val="left" w:pos="1182"/>
        </w:tabs>
        <w:spacing w:after="0" w:line="276" w:lineRule="auto"/>
        <w:ind w:right="-188"/>
        <w:jc w:val="both"/>
        <w:rPr>
          <w:rFonts w:ascii="Times New Roman" w:hAnsi="Times New Roman" w:cs="Times New Roman"/>
          <w:noProof/>
          <w:color w:val="000000"/>
          <w:sz w:val="24"/>
          <w:szCs w:val="23"/>
        </w:rPr>
      </w:pPr>
      <w:r w:rsidRPr="0051067F">
        <w:rPr>
          <w:rFonts w:ascii="Times New Roman" w:hAnsi="Times New Roman" w:cs="Times New Roman"/>
          <w:noProof/>
          <w:color w:val="000000"/>
          <w:sz w:val="24"/>
          <w:szCs w:val="23"/>
        </w:rPr>
        <w:t>Për vitin 2022, shpenzimet për interesa të borxhit përllogariten në vlerën prej 39.6 mld Lekë, përkatësisht 24.2 mld Lekë për interesa të borxhit të brendshëm dhe 15.4 mld Lekë për interesa të borxhit të jashtëm. Ripagesat e borxhit të jashtëm për vitin 2022 janë 38.4 ml</w:t>
      </w:r>
      <w:r>
        <w:rPr>
          <w:rFonts w:ascii="Times New Roman" w:hAnsi="Times New Roman" w:cs="Times New Roman"/>
          <w:noProof/>
          <w:color w:val="000000"/>
          <w:sz w:val="24"/>
          <w:szCs w:val="23"/>
        </w:rPr>
        <w:t>d Lekë (pagesa për principalin)</w:t>
      </w:r>
      <w:r w:rsidRPr="0051067F">
        <w:rPr>
          <w:rFonts w:ascii="Times New Roman" w:hAnsi="Times New Roman" w:cs="Times New Roman"/>
          <w:noProof/>
          <w:color w:val="000000"/>
          <w:sz w:val="24"/>
          <w:szCs w:val="23"/>
        </w:rPr>
        <w:t>. Krahasuar me vitin 2021 shpenzimet për interes</w:t>
      </w:r>
      <w:r w:rsidR="009D671C">
        <w:rPr>
          <w:rFonts w:ascii="Times New Roman" w:hAnsi="Times New Roman" w:cs="Times New Roman"/>
          <w:noProof/>
          <w:color w:val="000000"/>
          <w:sz w:val="24"/>
          <w:szCs w:val="23"/>
        </w:rPr>
        <w:t>a u rritën me 3.8 mld Lekë (10.6</w:t>
      </w:r>
      <w:r w:rsidRPr="0051067F">
        <w:rPr>
          <w:rFonts w:ascii="Times New Roman" w:hAnsi="Times New Roman" w:cs="Times New Roman"/>
          <w:noProof/>
          <w:color w:val="000000"/>
          <w:sz w:val="24"/>
          <w:szCs w:val="23"/>
        </w:rPr>
        <w:t>% më shumë se viti 2021), kryesisht si rezultat i rritjes së stokut të borxhit në vlerë nominale si dhe rritjes së normave të interesit, edhe pse rritja e normave të interesit pritet që efektin më të madh ta ketë në vitin 2023 dhe në vijim. Rritja e shpenzimeve për interesa ka qenë brenda parashikimeve dhe në përputhje me Projektbuxhetin e Vitit 2022.</w:t>
      </w:r>
    </w:p>
    <w:p w14:paraId="62A636CA" w14:textId="77777777" w:rsidR="0051067F" w:rsidRPr="005F7575" w:rsidRDefault="0051067F" w:rsidP="00A326D4">
      <w:pPr>
        <w:tabs>
          <w:tab w:val="left" w:pos="1182"/>
        </w:tabs>
        <w:spacing w:after="0" w:line="276" w:lineRule="auto"/>
        <w:ind w:right="-188"/>
        <w:rPr>
          <w:rFonts w:ascii="Cambria" w:hAnsi="Cambria"/>
          <w:b/>
          <w:bCs/>
          <w:sz w:val="20"/>
          <w:szCs w:val="20"/>
        </w:rPr>
      </w:pPr>
    </w:p>
    <w:p w14:paraId="4A673697" w14:textId="31F1AECC" w:rsidR="007767BE" w:rsidRPr="005F7575" w:rsidRDefault="002E67F6" w:rsidP="007767BE">
      <w:pPr>
        <w:tabs>
          <w:tab w:val="left" w:pos="1182"/>
        </w:tabs>
        <w:spacing w:after="0" w:line="276" w:lineRule="auto"/>
        <w:ind w:right="-188"/>
        <w:jc w:val="center"/>
        <w:rPr>
          <w:rFonts w:ascii="Cambria" w:hAnsi="Cambria"/>
          <w:i/>
          <w:iCs/>
          <w:sz w:val="20"/>
          <w:szCs w:val="20"/>
        </w:rPr>
      </w:pPr>
      <w:r w:rsidRPr="005F7575">
        <w:rPr>
          <w:rFonts w:ascii="Cambria" w:hAnsi="Cambria"/>
          <w:b/>
          <w:bCs/>
          <w:sz w:val="20"/>
          <w:szCs w:val="20"/>
        </w:rPr>
        <w:t xml:space="preserve">Paraqitje Grafike 5.1 </w:t>
      </w:r>
      <w:r w:rsidR="007F7EFB">
        <w:rPr>
          <w:rFonts w:ascii="Cambria" w:hAnsi="Cambria"/>
          <w:b/>
          <w:bCs/>
          <w:sz w:val="20"/>
          <w:szCs w:val="20"/>
        </w:rPr>
        <w:t>(a)</w:t>
      </w:r>
      <w:r w:rsidRPr="005F7575">
        <w:rPr>
          <w:rFonts w:ascii="Cambria" w:hAnsi="Cambria"/>
          <w:b/>
          <w:bCs/>
          <w:sz w:val="20"/>
          <w:szCs w:val="20"/>
        </w:rPr>
        <w:t xml:space="preserve">: </w:t>
      </w:r>
      <w:r w:rsidRPr="005F7575">
        <w:rPr>
          <w:rFonts w:ascii="Cambria" w:hAnsi="Cambria"/>
          <w:i/>
          <w:iCs/>
          <w:sz w:val="20"/>
          <w:szCs w:val="20"/>
        </w:rPr>
        <w:t>Shpenzimet për int</w:t>
      </w:r>
      <w:r w:rsidR="00E227B8" w:rsidRPr="005F7575">
        <w:rPr>
          <w:rFonts w:ascii="Cambria" w:hAnsi="Cambria"/>
          <w:i/>
          <w:iCs/>
          <w:sz w:val="20"/>
          <w:szCs w:val="20"/>
        </w:rPr>
        <w:t>eresa të borxhit shtetëror (</w:t>
      </w:r>
      <w:r w:rsidR="0051067F">
        <w:rPr>
          <w:rFonts w:ascii="Cambria" w:hAnsi="Cambria"/>
          <w:i/>
          <w:iCs/>
          <w:sz w:val="20"/>
          <w:szCs w:val="20"/>
        </w:rPr>
        <w:t>2018</w:t>
      </w:r>
      <w:r w:rsidR="00A80F7C">
        <w:rPr>
          <w:rFonts w:ascii="Cambria" w:hAnsi="Cambria"/>
          <w:i/>
          <w:iCs/>
          <w:sz w:val="20"/>
          <w:szCs w:val="20"/>
        </w:rPr>
        <w:t>-</w:t>
      </w:r>
      <w:r w:rsidR="007767BE" w:rsidRPr="005F7575">
        <w:rPr>
          <w:rFonts w:ascii="Cambria" w:hAnsi="Cambria"/>
          <w:i/>
          <w:iCs/>
          <w:sz w:val="20"/>
          <w:szCs w:val="20"/>
        </w:rPr>
        <w:t xml:space="preserve"> </w:t>
      </w:r>
      <w:r w:rsidR="00E227B8" w:rsidRPr="005F7575">
        <w:rPr>
          <w:rFonts w:ascii="Cambria" w:hAnsi="Cambria"/>
          <w:i/>
          <w:iCs/>
          <w:sz w:val="20"/>
          <w:szCs w:val="20"/>
        </w:rPr>
        <w:t>202</w:t>
      </w:r>
      <w:r w:rsidR="001339EC" w:rsidRPr="005F7575">
        <w:rPr>
          <w:rFonts w:ascii="Cambria" w:hAnsi="Cambria"/>
          <w:i/>
          <w:iCs/>
          <w:sz w:val="20"/>
          <w:szCs w:val="20"/>
        </w:rPr>
        <w:t>2</w:t>
      </w:r>
      <w:r w:rsidR="007767BE" w:rsidRPr="005F7575">
        <w:rPr>
          <w:rFonts w:ascii="Cambria" w:hAnsi="Cambria"/>
          <w:i/>
          <w:iCs/>
          <w:sz w:val="20"/>
          <w:szCs w:val="20"/>
        </w:rPr>
        <w:t>)</w:t>
      </w:r>
    </w:p>
    <w:p w14:paraId="238D9A96" w14:textId="2CD3630B" w:rsidR="0051067F" w:rsidRDefault="0051067F" w:rsidP="00D13DEF">
      <w:pPr>
        <w:tabs>
          <w:tab w:val="left" w:pos="1182"/>
        </w:tabs>
        <w:spacing w:after="0" w:line="276" w:lineRule="auto"/>
        <w:ind w:right="-188"/>
        <w:jc w:val="center"/>
        <w:rPr>
          <w:noProof/>
          <w:lang w:val="en-US"/>
        </w:rPr>
      </w:pPr>
      <w:r w:rsidRPr="0051067F">
        <w:rPr>
          <w:noProof/>
          <w:lang w:val="en-US"/>
        </w:rPr>
        <w:drawing>
          <wp:inline distT="0" distB="0" distL="0" distR="0" wp14:anchorId="448B793C" wp14:editId="196B94A2">
            <wp:extent cx="5829300" cy="1779905"/>
            <wp:effectExtent l="0" t="0" r="0" b="10795"/>
            <wp:docPr id="6" name="Chart 6">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F646D2" w14:textId="22165FD0" w:rsidR="002E67F6" w:rsidRPr="005F7575" w:rsidRDefault="00442E89" w:rsidP="00D13DEF">
      <w:pPr>
        <w:tabs>
          <w:tab w:val="left" w:pos="1182"/>
        </w:tabs>
        <w:spacing w:after="0" w:line="276" w:lineRule="auto"/>
        <w:ind w:right="-188"/>
        <w:jc w:val="center"/>
        <w:rPr>
          <w:rFonts w:ascii="Cambria" w:hAnsi="Cambria" w:cs="Times New Roman"/>
          <w:i/>
          <w:noProof/>
          <w:sz w:val="20"/>
          <w:szCs w:val="20"/>
        </w:rPr>
      </w:pPr>
      <w:r w:rsidRPr="005F7575">
        <w:rPr>
          <w:rFonts w:ascii="Cambria" w:hAnsi="Cambria" w:cs="Times New Roman"/>
          <w:b/>
          <w:noProof/>
          <w:sz w:val="20"/>
          <w:szCs w:val="20"/>
        </w:rPr>
        <w:t xml:space="preserve"> </w:t>
      </w:r>
      <w:r w:rsidR="002E67F6" w:rsidRPr="005F7575">
        <w:rPr>
          <w:rFonts w:ascii="Cambria" w:hAnsi="Cambria" w:cs="Times New Roman"/>
          <w:b/>
          <w:noProof/>
          <w:sz w:val="20"/>
          <w:szCs w:val="20"/>
        </w:rPr>
        <w:t xml:space="preserve">Burimi: </w:t>
      </w:r>
      <w:r w:rsidR="002E67F6" w:rsidRPr="005F7575">
        <w:rPr>
          <w:rFonts w:ascii="Cambria" w:hAnsi="Cambria" w:cs="Times New Roman"/>
          <w:i/>
          <w:noProof/>
          <w:sz w:val="20"/>
          <w:szCs w:val="20"/>
        </w:rPr>
        <w:t>Ministria e Financave dhe Ekonomisë (202</w:t>
      </w:r>
      <w:r w:rsidR="007F7EFB">
        <w:rPr>
          <w:rFonts w:ascii="Cambria" w:hAnsi="Cambria" w:cs="Times New Roman"/>
          <w:i/>
          <w:noProof/>
          <w:sz w:val="20"/>
          <w:szCs w:val="20"/>
        </w:rPr>
        <w:t>3</w:t>
      </w:r>
      <w:r w:rsidR="002E67F6" w:rsidRPr="005F7575">
        <w:rPr>
          <w:rFonts w:ascii="Cambria" w:hAnsi="Cambria" w:cs="Times New Roman"/>
          <w:i/>
          <w:noProof/>
          <w:sz w:val="20"/>
          <w:szCs w:val="20"/>
        </w:rPr>
        <w:t>)</w:t>
      </w:r>
    </w:p>
    <w:p w14:paraId="6A403B43" w14:textId="74393825" w:rsidR="0051067F" w:rsidRDefault="0051067F" w:rsidP="0051067F">
      <w:pPr>
        <w:spacing w:before="160" w:line="276" w:lineRule="auto"/>
        <w:contextualSpacing/>
        <w:jc w:val="both"/>
        <w:rPr>
          <w:rFonts w:ascii="Times New Roman" w:hAnsi="Times New Roman" w:cs="Times New Roman"/>
          <w:noProof/>
          <w:color w:val="000000"/>
          <w:sz w:val="24"/>
          <w:szCs w:val="23"/>
        </w:rPr>
      </w:pPr>
      <w:bookmarkStart w:id="13" w:name="_Toc34645069"/>
      <w:r w:rsidRPr="0051067F">
        <w:rPr>
          <w:rFonts w:ascii="Times New Roman" w:hAnsi="Times New Roman" w:cs="Times New Roman"/>
          <w:noProof/>
          <w:color w:val="000000"/>
          <w:sz w:val="24"/>
          <w:szCs w:val="23"/>
        </w:rPr>
        <w:lastRenderedPageBreak/>
        <w:t>P</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r sa i p</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rket kostos kostos mesatare t</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 xml:space="preserve"> portofolit t</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 xml:space="preserve"> borxhit,  yieldi mesatar i ponderuar i borxhit t</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 xml:space="preserve"> brendsh</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m u vler</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 xml:space="preserve">sua </w:t>
      </w:r>
      <w:r w:rsidR="009D671C">
        <w:rPr>
          <w:rFonts w:ascii="Times New Roman" w:hAnsi="Times New Roman" w:cs="Times New Roman"/>
          <w:noProof/>
          <w:color w:val="000000"/>
          <w:sz w:val="24"/>
          <w:szCs w:val="23"/>
        </w:rPr>
        <w:t>në nivelin prej</w:t>
      </w:r>
      <w:r w:rsidR="0012303A">
        <w:rPr>
          <w:rFonts w:ascii="Times New Roman" w:hAnsi="Times New Roman" w:cs="Times New Roman"/>
          <w:noProof/>
          <w:color w:val="000000"/>
          <w:sz w:val="24"/>
          <w:szCs w:val="23"/>
        </w:rPr>
        <w:t xml:space="preserve"> </w:t>
      </w:r>
      <w:r w:rsidRPr="0051067F">
        <w:rPr>
          <w:rFonts w:ascii="Times New Roman" w:hAnsi="Times New Roman" w:cs="Times New Roman"/>
          <w:noProof/>
          <w:color w:val="000000"/>
          <w:sz w:val="24"/>
          <w:szCs w:val="23"/>
        </w:rPr>
        <w:t>4.05%</w:t>
      </w:r>
      <w:r w:rsidR="009D671C">
        <w:rPr>
          <w:rFonts w:ascii="Times New Roman" w:hAnsi="Times New Roman" w:cs="Times New Roman"/>
          <w:noProof/>
          <w:color w:val="000000"/>
          <w:sz w:val="24"/>
          <w:szCs w:val="23"/>
        </w:rPr>
        <w:t xml:space="preserve"> </w:t>
      </w:r>
      <w:r w:rsidRPr="0051067F">
        <w:rPr>
          <w:rFonts w:ascii="Times New Roman" w:hAnsi="Times New Roman" w:cs="Times New Roman"/>
          <w:noProof/>
          <w:color w:val="000000"/>
          <w:sz w:val="24"/>
          <w:szCs w:val="23"/>
        </w:rPr>
        <w:t xml:space="preserve"> n</w:t>
      </w:r>
      <w:r w:rsidR="0012303A">
        <w:rPr>
          <w:rFonts w:ascii="Times New Roman" w:hAnsi="Times New Roman" w:cs="Times New Roman"/>
          <w:noProof/>
          <w:color w:val="000000"/>
          <w:sz w:val="24"/>
          <w:szCs w:val="23"/>
        </w:rPr>
        <w:t>ë</w:t>
      </w:r>
      <w:r w:rsidRPr="0051067F">
        <w:rPr>
          <w:rFonts w:ascii="Times New Roman" w:hAnsi="Times New Roman" w:cs="Times New Roman"/>
          <w:noProof/>
          <w:color w:val="000000"/>
          <w:sz w:val="24"/>
          <w:szCs w:val="23"/>
        </w:rPr>
        <w:t xml:space="preserve"> fund t</w:t>
      </w:r>
      <w:r w:rsidR="0012303A">
        <w:rPr>
          <w:rFonts w:ascii="Times New Roman" w:hAnsi="Times New Roman" w:cs="Times New Roman"/>
          <w:noProof/>
          <w:color w:val="000000"/>
          <w:sz w:val="24"/>
          <w:szCs w:val="23"/>
        </w:rPr>
        <w:t>ë</w:t>
      </w:r>
      <w:r w:rsidR="007F7EFB">
        <w:rPr>
          <w:rFonts w:ascii="Times New Roman" w:hAnsi="Times New Roman" w:cs="Times New Roman"/>
          <w:noProof/>
          <w:color w:val="000000"/>
          <w:sz w:val="24"/>
          <w:szCs w:val="23"/>
        </w:rPr>
        <w:t xml:space="preserve"> vitit 2022, duke u rritur me 52</w:t>
      </w:r>
      <w:r w:rsidRPr="0051067F">
        <w:rPr>
          <w:rFonts w:ascii="Times New Roman" w:hAnsi="Times New Roman" w:cs="Times New Roman"/>
          <w:noProof/>
          <w:color w:val="000000"/>
          <w:sz w:val="24"/>
          <w:szCs w:val="23"/>
        </w:rPr>
        <w:t xml:space="preserve"> pb krahasuar me fundin e vitit 2021</w:t>
      </w:r>
      <w:r>
        <w:rPr>
          <w:rFonts w:ascii="Times New Roman" w:hAnsi="Times New Roman" w:cs="Times New Roman"/>
          <w:noProof/>
          <w:color w:val="000000"/>
          <w:sz w:val="24"/>
          <w:szCs w:val="23"/>
        </w:rPr>
        <w:t>, k</w:t>
      </w:r>
      <w:r w:rsidRPr="0051067F">
        <w:rPr>
          <w:rFonts w:ascii="Times New Roman" w:hAnsi="Times New Roman" w:cs="Times New Roman"/>
          <w:noProof/>
          <w:color w:val="000000"/>
          <w:sz w:val="24"/>
          <w:szCs w:val="23"/>
        </w:rPr>
        <w:t>u u vler</w:t>
      </w:r>
      <w:r w:rsidR="0012303A">
        <w:rPr>
          <w:rFonts w:ascii="Times New Roman" w:hAnsi="Times New Roman" w:cs="Times New Roman"/>
          <w:noProof/>
          <w:color w:val="000000"/>
          <w:sz w:val="24"/>
          <w:szCs w:val="23"/>
        </w:rPr>
        <w:t>ësua 3.53%. Nd</w:t>
      </w:r>
      <w:r w:rsidR="00660B87">
        <w:rPr>
          <w:rFonts w:ascii="Times New Roman" w:hAnsi="Times New Roman" w:cs="Times New Roman"/>
          <w:noProof/>
          <w:color w:val="000000"/>
          <w:sz w:val="24"/>
          <w:szCs w:val="23"/>
        </w:rPr>
        <w:t>ë</w:t>
      </w:r>
      <w:r w:rsidR="0012303A">
        <w:rPr>
          <w:rFonts w:ascii="Times New Roman" w:hAnsi="Times New Roman" w:cs="Times New Roman"/>
          <w:noProof/>
          <w:color w:val="000000"/>
          <w:sz w:val="24"/>
          <w:szCs w:val="23"/>
        </w:rPr>
        <w:t>rkoh</w:t>
      </w:r>
      <w:r w:rsidR="00660B87">
        <w:rPr>
          <w:rFonts w:ascii="Times New Roman" w:hAnsi="Times New Roman" w:cs="Times New Roman"/>
          <w:noProof/>
          <w:color w:val="000000"/>
          <w:sz w:val="24"/>
          <w:szCs w:val="23"/>
        </w:rPr>
        <w:t>ë</w:t>
      </w:r>
      <w:r w:rsidR="0012303A">
        <w:rPr>
          <w:rFonts w:ascii="Times New Roman" w:hAnsi="Times New Roman" w:cs="Times New Roman"/>
          <w:noProof/>
          <w:color w:val="000000"/>
          <w:sz w:val="24"/>
          <w:szCs w:val="23"/>
        </w:rPr>
        <w:t xml:space="preserve">, </w:t>
      </w:r>
      <w:r w:rsidR="007F7EFB">
        <w:rPr>
          <w:rFonts w:ascii="Times New Roman" w:hAnsi="Times New Roman" w:cs="Times New Roman"/>
          <w:noProof/>
          <w:color w:val="000000"/>
          <w:sz w:val="24"/>
          <w:szCs w:val="23"/>
        </w:rPr>
        <w:t>k</w:t>
      </w:r>
      <w:r w:rsidRPr="0012303A">
        <w:rPr>
          <w:rFonts w:ascii="Times New Roman" w:hAnsi="Times New Roman" w:cs="Times New Roman"/>
          <w:noProof/>
          <w:color w:val="000000"/>
          <w:sz w:val="24"/>
          <w:szCs w:val="23"/>
        </w:rPr>
        <w:t>osto mestarae e borxhit t</w:t>
      </w:r>
      <w:r w:rsidR="0012303A">
        <w:rPr>
          <w:rFonts w:ascii="Times New Roman" w:hAnsi="Times New Roman" w:cs="Times New Roman"/>
          <w:noProof/>
          <w:color w:val="000000"/>
          <w:sz w:val="24"/>
          <w:szCs w:val="23"/>
        </w:rPr>
        <w:t>ë</w:t>
      </w:r>
      <w:r w:rsidRPr="0012303A">
        <w:rPr>
          <w:rFonts w:ascii="Times New Roman" w:hAnsi="Times New Roman" w:cs="Times New Roman"/>
          <w:noProof/>
          <w:color w:val="000000"/>
          <w:sz w:val="24"/>
          <w:szCs w:val="23"/>
        </w:rPr>
        <w:t xml:space="preserve"> jasht</w:t>
      </w:r>
      <w:r w:rsidR="0012303A">
        <w:rPr>
          <w:rFonts w:ascii="Times New Roman" w:hAnsi="Times New Roman" w:cs="Times New Roman"/>
          <w:noProof/>
          <w:color w:val="000000"/>
          <w:sz w:val="24"/>
          <w:szCs w:val="23"/>
        </w:rPr>
        <w:t>ë</w:t>
      </w:r>
      <w:r w:rsidRPr="0012303A">
        <w:rPr>
          <w:rFonts w:ascii="Times New Roman" w:hAnsi="Times New Roman" w:cs="Times New Roman"/>
          <w:noProof/>
          <w:color w:val="000000"/>
          <w:sz w:val="24"/>
          <w:szCs w:val="23"/>
        </w:rPr>
        <w:t>m</w:t>
      </w:r>
      <w:r w:rsidR="0012303A" w:rsidRPr="0012303A">
        <w:rPr>
          <w:rFonts w:ascii="Times New Roman" w:hAnsi="Times New Roman" w:cs="Times New Roman"/>
          <w:noProof/>
          <w:color w:val="000000"/>
          <w:sz w:val="24"/>
          <w:szCs w:val="23"/>
        </w:rPr>
        <w:t xml:space="preserve">, </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sht</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 xml:space="preserve"> vler</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 xml:space="preserve">suar </w:t>
      </w:r>
      <w:r w:rsidR="009D671C">
        <w:rPr>
          <w:rFonts w:ascii="Times New Roman" w:hAnsi="Times New Roman" w:cs="Times New Roman"/>
          <w:noProof/>
          <w:color w:val="000000"/>
          <w:sz w:val="24"/>
          <w:szCs w:val="23"/>
        </w:rPr>
        <w:t xml:space="preserve">në nivelin prej </w:t>
      </w:r>
      <w:r w:rsidR="0012303A" w:rsidRPr="0012303A">
        <w:rPr>
          <w:rFonts w:ascii="Times New Roman" w:hAnsi="Times New Roman" w:cs="Times New Roman"/>
          <w:noProof/>
          <w:color w:val="000000"/>
          <w:sz w:val="24"/>
          <w:szCs w:val="23"/>
        </w:rPr>
        <w:t>2.4</w:t>
      </w:r>
      <w:r w:rsidR="007F7EFB">
        <w:rPr>
          <w:rFonts w:ascii="Times New Roman" w:hAnsi="Times New Roman" w:cs="Times New Roman"/>
          <w:noProof/>
          <w:color w:val="000000"/>
          <w:sz w:val="24"/>
          <w:szCs w:val="23"/>
        </w:rPr>
        <w:t>4</w:t>
      </w:r>
      <w:r w:rsidR="0012303A" w:rsidRPr="0012303A">
        <w:rPr>
          <w:rFonts w:ascii="Times New Roman" w:hAnsi="Times New Roman" w:cs="Times New Roman"/>
          <w:noProof/>
          <w:color w:val="000000"/>
          <w:sz w:val="24"/>
          <w:szCs w:val="23"/>
        </w:rPr>
        <w:t>% n</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 xml:space="preserve"> fund t</w:t>
      </w:r>
      <w:r w:rsidR="0012303A">
        <w:rPr>
          <w:rFonts w:ascii="Times New Roman" w:hAnsi="Times New Roman" w:cs="Times New Roman"/>
          <w:noProof/>
          <w:color w:val="000000"/>
          <w:sz w:val="24"/>
          <w:szCs w:val="23"/>
        </w:rPr>
        <w:t>ë</w:t>
      </w:r>
      <w:r w:rsidR="007F7EFB">
        <w:rPr>
          <w:rFonts w:ascii="Times New Roman" w:hAnsi="Times New Roman" w:cs="Times New Roman"/>
          <w:noProof/>
          <w:color w:val="000000"/>
          <w:sz w:val="24"/>
          <w:szCs w:val="23"/>
        </w:rPr>
        <w:t xml:space="preserve"> vitit 2022, duke u rritur me 37</w:t>
      </w:r>
      <w:r w:rsidR="0012303A" w:rsidRPr="0012303A">
        <w:rPr>
          <w:rFonts w:ascii="Times New Roman" w:hAnsi="Times New Roman" w:cs="Times New Roman"/>
          <w:noProof/>
          <w:color w:val="000000"/>
          <w:sz w:val="24"/>
          <w:szCs w:val="23"/>
        </w:rPr>
        <w:t xml:space="preserve"> pb krahasuar me vitin 2021, kur </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sht</w:t>
      </w:r>
      <w:r w:rsidR="0012303A">
        <w:rPr>
          <w:rFonts w:ascii="Times New Roman" w:hAnsi="Times New Roman" w:cs="Times New Roman"/>
          <w:noProof/>
          <w:color w:val="000000"/>
          <w:sz w:val="24"/>
          <w:szCs w:val="23"/>
        </w:rPr>
        <w:t>ë</w:t>
      </w:r>
      <w:r w:rsidR="0012303A" w:rsidRPr="0012303A">
        <w:rPr>
          <w:rFonts w:ascii="Times New Roman" w:hAnsi="Times New Roman" w:cs="Times New Roman"/>
          <w:noProof/>
          <w:color w:val="000000"/>
          <w:sz w:val="24"/>
          <w:szCs w:val="23"/>
        </w:rPr>
        <w:t xml:space="preserve"> vler</w:t>
      </w:r>
      <w:r w:rsidR="0012303A">
        <w:rPr>
          <w:rFonts w:ascii="Times New Roman" w:hAnsi="Times New Roman" w:cs="Times New Roman"/>
          <w:noProof/>
          <w:color w:val="000000"/>
          <w:sz w:val="24"/>
          <w:szCs w:val="23"/>
        </w:rPr>
        <w:t>ë</w:t>
      </w:r>
      <w:r w:rsidR="007F7EFB">
        <w:rPr>
          <w:rFonts w:ascii="Times New Roman" w:hAnsi="Times New Roman" w:cs="Times New Roman"/>
          <w:noProof/>
          <w:color w:val="000000"/>
          <w:sz w:val="24"/>
          <w:szCs w:val="23"/>
        </w:rPr>
        <w:t>suar 2.07</w:t>
      </w:r>
      <w:r w:rsidR="0012303A" w:rsidRPr="0012303A">
        <w:rPr>
          <w:rFonts w:ascii="Times New Roman" w:hAnsi="Times New Roman" w:cs="Times New Roman"/>
          <w:noProof/>
          <w:color w:val="000000"/>
          <w:sz w:val="24"/>
          <w:szCs w:val="23"/>
        </w:rPr>
        <w:t xml:space="preserve">%. </w:t>
      </w:r>
    </w:p>
    <w:p w14:paraId="1FCB9B48" w14:textId="77777777" w:rsidR="007F7EFB" w:rsidRDefault="007F7EFB" w:rsidP="0051067F">
      <w:pPr>
        <w:spacing w:before="160" w:line="276" w:lineRule="auto"/>
        <w:contextualSpacing/>
        <w:jc w:val="both"/>
        <w:rPr>
          <w:rFonts w:ascii="Cambria" w:hAnsi="Cambria"/>
          <w:b/>
          <w:bCs/>
          <w:sz w:val="20"/>
          <w:szCs w:val="20"/>
        </w:rPr>
      </w:pPr>
    </w:p>
    <w:p w14:paraId="0CA0DD78" w14:textId="65B96E2A" w:rsidR="00073A4E" w:rsidRDefault="007F7EFB" w:rsidP="0051067F">
      <w:pPr>
        <w:spacing w:before="160" w:line="276" w:lineRule="auto"/>
        <w:contextualSpacing/>
        <w:jc w:val="both"/>
        <w:rPr>
          <w:rFonts w:ascii="Times New Roman" w:hAnsi="Times New Roman" w:cs="Times New Roman"/>
          <w:noProof/>
          <w:color w:val="000000"/>
          <w:sz w:val="24"/>
          <w:szCs w:val="23"/>
        </w:rPr>
      </w:pPr>
      <w:r w:rsidRPr="005F7575">
        <w:rPr>
          <w:rFonts w:ascii="Cambria" w:hAnsi="Cambria"/>
          <w:b/>
          <w:bCs/>
          <w:sz w:val="20"/>
          <w:szCs w:val="20"/>
        </w:rPr>
        <w:t>Paraqitje Grafike 5.1</w:t>
      </w:r>
      <w:r>
        <w:rPr>
          <w:rFonts w:ascii="Cambria" w:hAnsi="Cambria"/>
          <w:b/>
          <w:bCs/>
          <w:sz w:val="20"/>
          <w:szCs w:val="20"/>
        </w:rPr>
        <w:t xml:space="preserve"> (b): </w:t>
      </w:r>
      <w:r w:rsidRPr="007F7EFB">
        <w:rPr>
          <w:rFonts w:ascii="Cambria" w:hAnsi="Cambria"/>
          <w:bCs/>
          <w:sz w:val="20"/>
          <w:szCs w:val="20"/>
        </w:rPr>
        <w:t>Kosto Mesatare e Borxhit të Brendshëm dhe Borxhit të Jashtëm</w:t>
      </w:r>
    </w:p>
    <w:p w14:paraId="125D088F" w14:textId="5D8C41E1" w:rsidR="00073A4E" w:rsidRPr="0012303A" w:rsidRDefault="007F7EFB" w:rsidP="0051067F">
      <w:pPr>
        <w:spacing w:before="160" w:line="276" w:lineRule="auto"/>
        <w:contextualSpacing/>
        <w:jc w:val="both"/>
        <w:rPr>
          <w:rFonts w:ascii="Times New Roman" w:hAnsi="Times New Roman" w:cs="Times New Roman"/>
          <w:noProof/>
          <w:color w:val="000000"/>
          <w:sz w:val="24"/>
          <w:szCs w:val="23"/>
        </w:rPr>
      </w:pPr>
      <w:r w:rsidRPr="007F7EFB">
        <w:rPr>
          <w:rFonts w:ascii="Times New Roman" w:hAnsi="Times New Roman" w:cs="Times New Roman"/>
          <w:noProof/>
          <w:color w:val="000000"/>
          <w:sz w:val="24"/>
          <w:szCs w:val="23"/>
          <w:lang w:val="en-US"/>
        </w:rPr>
        <w:drawing>
          <wp:inline distT="0" distB="0" distL="0" distR="0" wp14:anchorId="68C82E5A" wp14:editId="522BD6AE">
            <wp:extent cx="5829300" cy="1984443"/>
            <wp:effectExtent l="0" t="0" r="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25493F" w14:textId="77777777" w:rsidR="007F7EFB" w:rsidRPr="005F7575" w:rsidRDefault="007F7EFB" w:rsidP="007F7EFB">
      <w:pPr>
        <w:tabs>
          <w:tab w:val="left" w:pos="1182"/>
        </w:tabs>
        <w:spacing w:after="0" w:line="276" w:lineRule="auto"/>
        <w:ind w:right="-188"/>
        <w:jc w:val="center"/>
        <w:rPr>
          <w:rFonts w:ascii="Cambria" w:hAnsi="Cambria" w:cs="Times New Roman"/>
          <w:i/>
          <w:noProof/>
          <w:sz w:val="20"/>
          <w:szCs w:val="20"/>
        </w:rPr>
      </w:pPr>
      <w:r w:rsidRPr="005F7575">
        <w:rPr>
          <w:rFonts w:ascii="Cambria" w:hAnsi="Cambria" w:cs="Times New Roman"/>
          <w:b/>
          <w:noProof/>
          <w:sz w:val="20"/>
          <w:szCs w:val="20"/>
        </w:rPr>
        <w:t xml:space="preserve">Burimi: </w:t>
      </w:r>
      <w:r w:rsidRPr="005F7575">
        <w:rPr>
          <w:rFonts w:ascii="Cambria" w:hAnsi="Cambria" w:cs="Times New Roman"/>
          <w:i/>
          <w:noProof/>
          <w:sz w:val="20"/>
          <w:szCs w:val="20"/>
        </w:rPr>
        <w:t>Ministria e Financave dhe Ekonomisë (202</w:t>
      </w:r>
      <w:r>
        <w:rPr>
          <w:rFonts w:ascii="Cambria" w:hAnsi="Cambria" w:cs="Times New Roman"/>
          <w:i/>
          <w:noProof/>
          <w:sz w:val="20"/>
          <w:szCs w:val="20"/>
        </w:rPr>
        <w:t>3</w:t>
      </w:r>
      <w:r w:rsidRPr="005F7575">
        <w:rPr>
          <w:rFonts w:ascii="Cambria" w:hAnsi="Cambria" w:cs="Times New Roman"/>
          <w:i/>
          <w:noProof/>
          <w:sz w:val="20"/>
          <w:szCs w:val="20"/>
        </w:rPr>
        <w:t>)</w:t>
      </w:r>
    </w:p>
    <w:p w14:paraId="290831AF" w14:textId="68E851D7" w:rsidR="0051067F" w:rsidRPr="0051067F" w:rsidRDefault="0051067F" w:rsidP="0051067F">
      <w:pPr>
        <w:pStyle w:val="Heading2"/>
        <w:spacing w:before="0" w:after="240" w:line="276" w:lineRule="auto"/>
        <w:ind w:right="-188"/>
        <w:jc w:val="both"/>
        <w:rPr>
          <w:rFonts w:eastAsia="MS Mincho" w:cs="Times New Roman"/>
          <w:b w:val="0"/>
          <w:noProof/>
          <w:color w:val="000000"/>
          <w:szCs w:val="23"/>
        </w:rPr>
      </w:pPr>
    </w:p>
    <w:p w14:paraId="1B484DCE" w14:textId="77777777" w:rsidR="007E2B91" w:rsidRPr="00190E39" w:rsidRDefault="00BF162C" w:rsidP="00B92540">
      <w:pPr>
        <w:pStyle w:val="Heading2"/>
        <w:numPr>
          <w:ilvl w:val="1"/>
          <w:numId w:val="5"/>
        </w:numPr>
        <w:spacing w:before="0" w:after="240" w:line="276" w:lineRule="auto"/>
        <w:ind w:left="0" w:right="-188" w:firstLine="0"/>
        <w:jc w:val="both"/>
        <w:rPr>
          <w:rFonts w:ascii="Cambria" w:hAnsi="Cambria"/>
        </w:rPr>
      </w:pPr>
      <w:r w:rsidRPr="00190E39">
        <w:rPr>
          <w:rFonts w:ascii="Cambria" w:hAnsi="Cambria"/>
        </w:rPr>
        <w:t>Risqet</w:t>
      </w:r>
      <w:bookmarkEnd w:id="13"/>
    </w:p>
    <w:p w14:paraId="7453454C" w14:textId="4CB170F2" w:rsidR="007F7EFB" w:rsidRPr="009D671C" w:rsidRDefault="007F7EFB" w:rsidP="007F7EFB">
      <w:pPr>
        <w:tabs>
          <w:tab w:val="left" w:pos="8647"/>
        </w:tabs>
        <w:spacing w:line="276" w:lineRule="auto"/>
        <w:ind w:right="4"/>
        <w:jc w:val="both"/>
        <w:rPr>
          <w:rFonts w:ascii="Times New Roman" w:hAnsi="Times New Roman" w:cs="Times New Roman"/>
          <w:color w:val="000000"/>
          <w:sz w:val="24"/>
          <w:szCs w:val="24"/>
        </w:rPr>
      </w:pPr>
      <w:r w:rsidRPr="009D671C">
        <w:rPr>
          <w:rFonts w:ascii="Times New Roman" w:hAnsi="Times New Roman" w:cs="Times New Roman"/>
          <w:color w:val="000000"/>
          <w:sz w:val="24"/>
          <w:szCs w:val="24"/>
        </w:rPr>
        <w:t>Strategjia Afatmesme e Menaxhimit të Borxhit synon të përmirësojë më tej strukturën e borxhit (</w:t>
      </w:r>
      <w:r w:rsidRPr="009D671C">
        <w:rPr>
          <w:rFonts w:ascii="Times New Roman" w:hAnsi="Times New Roman" w:cs="Times New Roman"/>
          <w:i/>
          <w:color w:val="000000"/>
          <w:sz w:val="24"/>
          <w:szCs w:val="24"/>
        </w:rPr>
        <w:t>kryesisht strukturën e portofolit të borxhit të brendshëm</w:t>
      </w:r>
      <w:r w:rsidRPr="009D671C">
        <w:rPr>
          <w:rFonts w:ascii="Times New Roman" w:hAnsi="Times New Roman" w:cs="Times New Roman"/>
          <w:color w:val="000000"/>
          <w:sz w:val="24"/>
          <w:szCs w:val="24"/>
        </w:rPr>
        <w:t xml:space="preserve">), në drejtim të uljes së ekspozimit ndaj risqeve, si dhe mbajtjes së kostos në nivelet më të ulëta të mundshme. Gjatë vitit 2022, në kushtet e shtrënguara të tregjeve, huamarrja ishte jo e lehtë për tu realizuar dhe në rrethanat e një kërkese të orientuar kryesisht drejt instrumenteve afatshkurtra, treguesit e riskut nuk shënuan përmirësim krahasuar me vitet e mëparshme, dhe në disa prej tyre pati një </w:t>
      </w:r>
      <w:r w:rsidR="003A178A">
        <w:rPr>
          <w:rFonts w:ascii="Times New Roman" w:hAnsi="Times New Roman" w:cs="Times New Roman"/>
          <w:color w:val="000000"/>
          <w:sz w:val="24"/>
          <w:szCs w:val="24"/>
        </w:rPr>
        <w:t>përkeqësim të lehtë</w:t>
      </w:r>
      <w:r w:rsidRPr="009D671C">
        <w:rPr>
          <w:rFonts w:ascii="Times New Roman" w:hAnsi="Times New Roman" w:cs="Times New Roman"/>
          <w:color w:val="000000"/>
          <w:sz w:val="24"/>
          <w:szCs w:val="24"/>
        </w:rPr>
        <w:t xml:space="preserve">, i cili vlerësohet të jetë i përkohshëm. </w:t>
      </w:r>
    </w:p>
    <w:p w14:paraId="399676B0" w14:textId="77777777" w:rsidR="007F7EFB" w:rsidRPr="009D671C" w:rsidRDefault="007F7EFB" w:rsidP="007F7EFB">
      <w:pPr>
        <w:tabs>
          <w:tab w:val="left" w:pos="8647"/>
        </w:tabs>
        <w:spacing w:line="276" w:lineRule="auto"/>
        <w:ind w:right="4"/>
        <w:jc w:val="both"/>
        <w:rPr>
          <w:rFonts w:ascii="Times New Roman" w:hAnsi="Times New Roman" w:cs="Times New Roman"/>
          <w:bCs/>
          <w:i/>
          <w:color w:val="000000"/>
          <w:sz w:val="24"/>
          <w:szCs w:val="24"/>
          <w:u w:val="single"/>
        </w:rPr>
      </w:pPr>
      <w:r w:rsidRPr="009D671C">
        <w:rPr>
          <w:rFonts w:ascii="Times New Roman" w:hAnsi="Times New Roman" w:cs="Times New Roman"/>
          <w:bCs/>
          <w:i/>
          <w:color w:val="000000"/>
          <w:sz w:val="24"/>
          <w:szCs w:val="24"/>
          <w:u w:val="single"/>
        </w:rPr>
        <w:t>Risku i Rifinancimit</w:t>
      </w:r>
    </w:p>
    <w:p w14:paraId="5C53FE00" w14:textId="4E46E282" w:rsidR="007F7EFB" w:rsidRPr="009D671C" w:rsidRDefault="007F7EFB" w:rsidP="007F7EFB">
      <w:pPr>
        <w:tabs>
          <w:tab w:val="left" w:pos="8647"/>
        </w:tabs>
        <w:spacing w:line="276" w:lineRule="auto"/>
        <w:ind w:right="4"/>
        <w:jc w:val="both"/>
        <w:rPr>
          <w:rFonts w:ascii="Times New Roman" w:hAnsi="Times New Roman" w:cs="Times New Roman"/>
          <w:bCs/>
          <w:color w:val="000000"/>
          <w:sz w:val="24"/>
          <w:szCs w:val="24"/>
        </w:rPr>
      </w:pPr>
      <w:r w:rsidRPr="009D671C">
        <w:rPr>
          <w:rFonts w:ascii="Times New Roman" w:hAnsi="Times New Roman" w:cs="Times New Roman"/>
          <w:bCs/>
          <w:color w:val="000000"/>
          <w:sz w:val="24"/>
          <w:szCs w:val="24"/>
        </w:rPr>
        <w:t xml:space="preserve">Një ndër objektivat kryesore të SAMB është reduktimi i riskut të rifinancimit kryesisht në portofolin e borxhit të brendshëm, pasi borxhi i jashtëm paraqet më pak risk duke qenë se është i përbërë nga instrumente me afat të gjatë maturimi dhe me profile amortizimi të shtrira gjatë në kohë. Gjatë vitit 2022, si rezultat i emetimit të shtuar të titujve afatshkurtër për qëllime të sigurimit të </w:t>
      </w:r>
      <w:r w:rsidR="003A178A">
        <w:rPr>
          <w:rFonts w:ascii="Times New Roman" w:hAnsi="Times New Roman" w:cs="Times New Roman"/>
          <w:bCs/>
          <w:color w:val="000000"/>
          <w:sz w:val="24"/>
          <w:szCs w:val="24"/>
        </w:rPr>
        <w:t>financimit</w:t>
      </w:r>
      <w:r w:rsidR="003A178A" w:rsidRPr="009D671C">
        <w:rPr>
          <w:rFonts w:ascii="Times New Roman" w:hAnsi="Times New Roman" w:cs="Times New Roman"/>
          <w:bCs/>
          <w:color w:val="000000"/>
          <w:sz w:val="24"/>
          <w:szCs w:val="24"/>
        </w:rPr>
        <w:t xml:space="preserve"> </w:t>
      </w:r>
      <w:r w:rsidRPr="009D671C">
        <w:rPr>
          <w:rFonts w:ascii="Times New Roman" w:hAnsi="Times New Roman" w:cs="Times New Roman"/>
          <w:bCs/>
          <w:color w:val="000000"/>
          <w:sz w:val="24"/>
          <w:szCs w:val="24"/>
        </w:rPr>
        <w:t>të nevojshëm, treguesit e riskut të rifinancimit nuk kanë shfaqur përmirësim. Konkretisht, jetëgjatësia e borxhit të brendshëm është ulur me 13 ditë, nga 793 ditë në fund të vitit 2021 në 780 ditë në fund të vitit 2022. Gjithashtu, pesha e borxhit që maturohet brenda një viti është rritur nga 46.6% në dhjetor 2021 në 47.9% në dhjetor 2022.</w:t>
      </w:r>
      <w:r w:rsidR="003A178A">
        <w:rPr>
          <w:rFonts w:ascii="Times New Roman" w:hAnsi="Times New Roman" w:cs="Times New Roman"/>
          <w:bCs/>
          <w:color w:val="000000"/>
          <w:sz w:val="24"/>
          <w:szCs w:val="24"/>
        </w:rPr>
        <w:t xml:space="preserve"> Këto janë tregues të cilët, në kushtet e rikthimit të kërkesës së investitorëve në kushte normale, gjë e cila filloi që në pjesën e dytë të vitit 2022, do të vijojnë trendet e përmirësimit në përputhje me objektivat e përcaktuar në Strategjinë Afatmesme të Borxhit Publik (SAMB).</w:t>
      </w:r>
      <w:r w:rsidRPr="009D671C">
        <w:rPr>
          <w:rFonts w:ascii="Times New Roman" w:hAnsi="Times New Roman" w:cs="Times New Roman"/>
          <w:bCs/>
          <w:color w:val="000000"/>
          <w:sz w:val="24"/>
          <w:szCs w:val="24"/>
        </w:rPr>
        <w:t xml:space="preserve"> </w:t>
      </w:r>
    </w:p>
    <w:p w14:paraId="1D442B75" w14:textId="2F5C11FD" w:rsidR="007F7EFB" w:rsidRPr="008F13FA" w:rsidRDefault="006D6418" w:rsidP="007F7EFB">
      <w:pPr>
        <w:tabs>
          <w:tab w:val="left" w:pos="8647"/>
        </w:tabs>
        <w:spacing w:line="276" w:lineRule="auto"/>
        <w:ind w:right="621"/>
        <w:jc w:val="both"/>
        <w:rPr>
          <w:rFonts w:ascii="Cambria" w:hAnsi="Cambria" w:cs="Times New Roman"/>
          <w:bCs/>
          <w:color w:val="000000"/>
          <w:sz w:val="20"/>
          <w:szCs w:val="20"/>
        </w:rPr>
      </w:pPr>
      <w:r w:rsidRPr="00BD61CA">
        <w:rPr>
          <w:rFonts w:ascii="Cambria" w:hAnsi="Cambria" w:cs="Times New Roman"/>
          <w:bCs/>
          <w:noProof/>
          <w:color w:val="000000"/>
          <w:sz w:val="24"/>
          <w:szCs w:val="24"/>
          <w:lang w:val="en-US"/>
        </w:rPr>
        <w:lastRenderedPageBreak/>
        <w:drawing>
          <wp:anchor distT="0" distB="0" distL="114300" distR="114300" simplePos="0" relativeHeight="251915264" behindDoc="1" locked="0" layoutInCell="1" allowOverlap="1" wp14:anchorId="5B7DBD5E" wp14:editId="654BFB1B">
            <wp:simplePos x="0" y="0"/>
            <wp:positionH relativeFrom="column">
              <wp:posOffset>2974975</wp:posOffset>
            </wp:positionH>
            <wp:positionV relativeFrom="paragraph">
              <wp:posOffset>219710</wp:posOffset>
            </wp:positionV>
            <wp:extent cx="2830195" cy="2027555"/>
            <wp:effectExtent l="0" t="0" r="8255" b="10795"/>
            <wp:wrapTight wrapText="bothSides">
              <wp:wrapPolygon edited="0">
                <wp:start x="0" y="0"/>
                <wp:lineTo x="0" y="21512"/>
                <wp:lineTo x="21518" y="21512"/>
                <wp:lineTo x="21518" y="0"/>
                <wp:lineTo x="0" y="0"/>
              </wp:wrapPolygon>
            </wp:wrapTight>
            <wp:docPr id="9" name="Chart 9">
              <a:extLst xmlns:a="http://schemas.openxmlformats.org/drawingml/2006/main">
                <a:ext uri="{FF2B5EF4-FFF2-40B4-BE49-F238E27FC236}">
                  <a16:creationId xmlns:a16="http://schemas.microsoft.com/office/drawing/2014/main" id="{00000000-0008-0000-1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7F7EFB" w:rsidRPr="00BD61CA">
        <w:rPr>
          <w:rFonts w:ascii="Cambria" w:hAnsi="Cambria" w:cs="Times New Roman"/>
          <w:bCs/>
          <w:noProof/>
          <w:color w:val="000000"/>
          <w:sz w:val="24"/>
          <w:szCs w:val="24"/>
          <w:lang w:val="en-US"/>
        </w:rPr>
        <w:drawing>
          <wp:anchor distT="0" distB="0" distL="114300" distR="114300" simplePos="0" relativeHeight="251914240" behindDoc="1" locked="0" layoutInCell="1" allowOverlap="1" wp14:anchorId="72E9CD63" wp14:editId="7A2AED73">
            <wp:simplePos x="0" y="0"/>
            <wp:positionH relativeFrom="column">
              <wp:posOffset>0</wp:posOffset>
            </wp:positionH>
            <wp:positionV relativeFrom="paragraph">
              <wp:posOffset>224155</wp:posOffset>
            </wp:positionV>
            <wp:extent cx="2975610" cy="2027555"/>
            <wp:effectExtent l="0" t="0" r="15240" b="10795"/>
            <wp:wrapTight wrapText="bothSides">
              <wp:wrapPolygon edited="0">
                <wp:start x="0" y="0"/>
                <wp:lineTo x="0" y="21512"/>
                <wp:lineTo x="21572" y="21512"/>
                <wp:lineTo x="21572" y="0"/>
                <wp:lineTo x="0" y="0"/>
              </wp:wrapPolygon>
            </wp:wrapTight>
            <wp:docPr id="8" name="Chart 8">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7F7EFB" w:rsidRPr="007F7EFB">
        <w:t xml:space="preserve"> </w:t>
      </w:r>
      <w:r w:rsidR="007F7EFB" w:rsidRPr="007F7EFB">
        <w:rPr>
          <w:rFonts w:ascii="Cambria" w:hAnsi="Cambria" w:cs="Times New Roman"/>
          <w:b/>
          <w:bCs/>
          <w:color w:val="000000"/>
          <w:sz w:val="20"/>
          <w:szCs w:val="20"/>
        </w:rPr>
        <w:t>Paraqitje Grafike 5.2 (a)</w:t>
      </w:r>
      <w:r w:rsidR="007F7EFB" w:rsidRPr="00BD61CA">
        <w:rPr>
          <w:rFonts w:ascii="Cambria" w:hAnsi="Cambria" w:cs="Times New Roman"/>
          <w:bCs/>
          <w:color w:val="000000"/>
          <w:sz w:val="20"/>
          <w:szCs w:val="20"/>
        </w:rPr>
        <w:t>: Treguesit</w:t>
      </w:r>
      <w:r w:rsidR="007F7EFB" w:rsidRPr="008F13FA">
        <w:rPr>
          <w:rFonts w:ascii="Cambria" w:hAnsi="Cambria" w:cs="Times New Roman"/>
          <w:bCs/>
          <w:color w:val="000000"/>
          <w:sz w:val="20"/>
          <w:szCs w:val="20"/>
        </w:rPr>
        <w:t xml:space="preserve"> e Riskut të Rifinancimit</w:t>
      </w:r>
    </w:p>
    <w:p w14:paraId="5B43D8BB" w14:textId="77777777" w:rsidR="007F7EFB" w:rsidRPr="008F13FA" w:rsidRDefault="007F7EFB" w:rsidP="007F7EFB">
      <w:pPr>
        <w:spacing w:after="0" w:line="276" w:lineRule="auto"/>
        <w:ind w:right="621"/>
        <w:jc w:val="center"/>
        <w:rPr>
          <w:rFonts w:ascii="Cambria" w:hAnsi="Cambria" w:cs="Times New Roman"/>
          <w:bCs/>
          <w:color w:val="000000"/>
          <w:sz w:val="20"/>
          <w:szCs w:val="20"/>
        </w:rPr>
      </w:pPr>
      <w:r w:rsidRPr="007F7EFB">
        <w:rPr>
          <w:rFonts w:ascii="Cambria" w:hAnsi="Cambria" w:cs="Times New Roman"/>
          <w:b/>
          <w:bCs/>
          <w:color w:val="000000"/>
          <w:sz w:val="20"/>
          <w:szCs w:val="20"/>
        </w:rPr>
        <w:t>Burimi:</w:t>
      </w:r>
      <w:r w:rsidRPr="008F13FA">
        <w:rPr>
          <w:rFonts w:ascii="Cambria" w:hAnsi="Cambria" w:cs="Times New Roman"/>
          <w:bCs/>
          <w:color w:val="000000"/>
          <w:sz w:val="20"/>
          <w:szCs w:val="20"/>
        </w:rPr>
        <w:t xml:space="preserve"> </w:t>
      </w:r>
      <w:r w:rsidRPr="00CF046E">
        <w:rPr>
          <w:rFonts w:ascii="Cambria" w:hAnsi="Cambria" w:cs="Times New Roman"/>
          <w:bCs/>
          <w:i/>
          <w:color w:val="000000"/>
          <w:sz w:val="20"/>
          <w:szCs w:val="20"/>
        </w:rPr>
        <w:t>Ministria e Financave dhe Ekonomisë</w:t>
      </w:r>
      <w:r>
        <w:rPr>
          <w:rFonts w:ascii="Cambria" w:hAnsi="Cambria" w:cs="Times New Roman"/>
          <w:bCs/>
          <w:i/>
          <w:color w:val="000000"/>
          <w:sz w:val="20"/>
          <w:szCs w:val="20"/>
        </w:rPr>
        <w:t>, 2023</w:t>
      </w:r>
    </w:p>
    <w:p w14:paraId="54DE64BC" w14:textId="77777777" w:rsidR="007F7EFB" w:rsidRDefault="007F7EFB" w:rsidP="007F7EFB">
      <w:pPr>
        <w:spacing w:line="276" w:lineRule="auto"/>
        <w:ind w:right="621"/>
        <w:jc w:val="both"/>
        <w:rPr>
          <w:rFonts w:ascii="Cambria" w:hAnsi="Cambria" w:cs="Times New Roman"/>
          <w:bCs/>
          <w:i/>
          <w:color w:val="000000"/>
          <w:sz w:val="24"/>
          <w:szCs w:val="24"/>
          <w:u w:val="single"/>
        </w:rPr>
      </w:pPr>
    </w:p>
    <w:p w14:paraId="72CB623A" w14:textId="77777777" w:rsidR="007F7EFB" w:rsidRPr="009D671C" w:rsidRDefault="007F7EFB" w:rsidP="007F7EFB">
      <w:pPr>
        <w:spacing w:line="276" w:lineRule="auto"/>
        <w:ind w:right="621"/>
        <w:jc w:val="both"/>
        <w:rPr>
          <w:rFonts w:ascii="Times New Roman" w:hAnsi="Times New Roman" w:cs="Times New Roman"/>
          <w:bCs/>
          <w:i/>
          <w:color w:val="000000"/>
          <w:sz w:val="24"/>
          <w:szCs w:val="24"/>
          <w:u w:val="single"/>
        </w:rPr>
      </w:pPr>
      <w:r w:rsidRPr="009D671C">
        <w:rPr>
          <w:rFonts w:ascii="Times New Roman" w:hAnsi="Times New Roman" w:cs="Times New Roman"/>
          <w:bCs/>
          <w:i/>
          <w:color w:val="000000"/>
          <w:sz w:val="24"/>
          <w:szCs w:val="24"/>
          <w:u w:val="single"/>
        </w:rPr>
        <w:t>Risku i Normave të Interesit</w:t>
      </w:r>
    </w:p>
    <w:p w14:paraId="21D1E525" w14:textId="0C507A1C" w:rsidR="009D671C" w:rsidRPr="009D671C" w:rsidRDefault="007F7EFB" w:rsidP="007F7EFB">
      <w:pPr>
        <w:tabs>
          <w:tab w:val="left" w:pos="8647"/>
        </w:tabs>
        <w:spacing w:line="276" w:lineRule="auto"/>
        <w:ind w:right="4"/>
        <w:jc w:val="both"/>
        <w:rPr>
          <w:rFonts w:ascii="Times New Roman" w:hAnsi="Times New Roman" w:cs="Times New Roman"/>
          <w:bCs/>
          <w:color w:val="000000"/>
          <w:sz w:val="24"/>
          <w:szCs w:val="24"/>
        </w:rPr>
      </w:pPr>
      <w:r w:rsidRPr="009D671C">
        <w:rPr>
          <w:rFonts w:ascii="Times New Roman" w:hAnsi="Times New Roman" w:cs="Times New Roman"/>
          <w:bCs/>
          <w:color w:val="000000"/>
          <w:sz w:val="24"/>
          <w:szCs w:val="24"/>
        </w:rPr>
        <w:t>Risku i normave të interesit gjithashtu nuk ka shfaqur përmirësim gjatë vitit</w:t>
      </w:r>
      <w:r w:rsidRPr="009D671C">
        <w:rPr>
          <w:rFonts w:ascii="Times New Roman" w:hAnsi="Times New Roman" w:cs="Times New Roman"/>
          <w:sz w:val="24"/>
          <w:szCs w:val="24"/>
        </w:rPr>
        <w:t>, kjo në rrethanat e përdorimit rregullisht të instrumenteve afatshkurtër (bono thesari 3, 6 dhe 12 mujore)</w:t>
      </w:r>
      <w:r w:rsidRPr="009D671C">
        <w:rPr>
          <w:rFonts w:ascii="Times New Roman" w:hAnsi="Times New Roman" w:cs="Times New Roman"/>
          <w:bCs/>
          <w:color w:val="000000"/>
          <w:sz w:val="24"/>
          <w:szCs w:val="24"/>
        </w:rPr>
        <w:t xml:space="preserve">. Konkretisht, pesha e titujve që rivlerësojnë normën e interesit brenda vitit është rritur nga 48.0% në 49.0%, ndërkohë që edhe koha mesatare në rifiksim është ulur nga 2.19 vite në 2.17 vite. </w:t>
      </w:r>
    </w:p>
    <w:p w14:paraId="0DDBD5B3" w14:textId="0F14DCC0" w:rsidR="007F7EFB" w:rsidRPr="006A3E61" w:rsidRDefault="007F7EFB" w:rsidP="007F7EFB">
      <w:pPr>
        <w:spacing w:line="276" w:lineRule="auto"/>
        <w:ind w:right="621"/>
        <w:jc w:val="both"/>
        <w:rPr>
          <w:rFonts w:ascii="Cambria" w:hAnsi="Cambria" w:cs="Times New Roman"/>
          <w:bCs/>
          <w:color w:val="000000"/>
          <w:sz w:val="24"/>
          <w:szCs w:val="24"/>
        </w:rPr>
      </w:pPr>
      <w:r w:rsidRPr="00BD61CA">
        <w:rPr>
          <w:rFonts w:ascii="Cambria" w:hAnsi="Cambria" w:cs="Times New Roman"/>
          <w:bCs/>
          <w:noProof/>
          <w:color w:val="000000"/>
          <w:sz w:val="20"/>
          <w:szCs w:val="20"/>
          <w:lang w:val="en-US"/>
        </w:rPr>
        <w:drawing>
          <wp:anchor distT="0" distB="0" distL="114300" distR="114300" simplePos="0" relativeHeight="251917312" behindDoc="1" locked="0" layoutInCell="1" allowOverlap="1" wp14:anchorId="24A8E631" wp14:editId="68022EB2">
            <wp:simplePos x="0" y="0"/>
            <wp:positionH relativeFrom="column">
              <wp:posOffset>2877820</wp:posOffset>
            </wp:positionH>
            <wp:positionV relativeFrom="paragraph">
              <wp:posOffset>161925</wp:posOffset>
            </wp:positionV>
            <wp:extent cx="2995295" cy="1964690"/>
            <wp:effectExtent l="0" t="0" r="14605" b="16510"/>
            <wp:wrapTight wrapText="bothSides">
              <wp:wrapPolygon edited="0">
                <wp:start x="0" y="0"/>
                <wp:lineTo x="0" y="21572"/>
                <wp:lineTo x="21568" y="21572"/>
                <wp:lineTo x="21568" y="0"/>
                <wp:lineTo x="0" y="0"/>
              </wp:wrapPolygon>
            </wp:wrapTight>
            <wp:docPr id="10" name="Chart 10">
              <a:extLst xmlns:a="http://schemas.openxmlformats.org/drawingml/2006/main">
                <a:ext uri="{FF2B5EF4-FFF2-40B4-BE49-F238E27FC236}">
                  <a16:creationId xmlns:a16="http://schemas.microsoft.com/office/drawing/2014/main" id="{00000000-0008-0000-1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BD61CA">
        <w:rPr>
          <w:rFonts w:ascii="Cambria" w:hAnsi="Cambria" w:cs="Times New Roman"/>
          <w:bCs/>
          <w:noProof/>
          <w:color w:val="000000"/>
          <w:sz w:val="20"/>
          <w:szCs w:val="20"/>
          <w:lang w:val="en-US"/>
        </w:rPr>
        <w:drawing>
          <wp:anchor distT="0" distB="0" distL="114300" distR="114300" simplePos="0" relativeHeight="251916288" behindDoc="1" locked="0" layoutInCell="1" allowOverlap="1" wp14:anchorId="010CEEB8" wp14:editId="682EC336">
            <wp:simplePos x="0" y="0"/>
            <wp:positionH relativeFrom="margin">
              <wp:align>left</wp:align>
            </wp:positionH>
            <wp:positionV relativeFrom="paragraph">
              <wp:posOffset>163830</wp:posOffset>
            </wp:positionV>
            <wp:extent cx="2886075" cy="1964690"/>
            <wp:effectExtent l="0" t="0" r="9525" b="16510"/>
            <wp:wrapTight wrapText="bothSides">
              <wp:wrapPolygon edited="0">
                <wp:start x="0" y="0"/>
                <wp:lineTo x="0" y="21572"/>
                <wp:lineTo x="21529" y="21572"/>
                <wp:lineTo x="21529" y="0"/>
                <wp:lineTo x="0" y="0"/>
              </wp:wrapPolygon>
            </wp:wrapTight>
            <wp:docPr id="11" name="Chart 11">
              <a:extLst xmlns:a="http://schemas.openxmlformats.org/drawingml/2006/main">
                <a:ext uri="{FF2B5EF4-FFF2-40B4-BE49-F238E27FC236}">
                  <a16:creationId xmlns:a16="http://schemas.microsoft.com/office/drawing/2014/main" id="{00000000-0008-0000-1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7F7EFB">
        <w:t xml:space="preserve"> </w:t>
      </w:r>
      <w:r w:rsidRPr="007F7EFB">
        <w:rPr>
          <w:rFonts w:ascii="Cambria" w:hAnsi="Cambria" w:cs="Times New Roman"/>
          <w:b/>
          <w:bCs/>
          <w:color w:val="000000"/>
          <w:sz w:val="20"/>
          <w:szCs w:val="20"/>
        </w:rPr>
        <w:t>Paraqitje Grafike 5.2 (</w:t>
      </w:r>
      <w:r>
        <w:rPr>
          <w:rFonts w:ascii="Cambria" w:hAnsi="Cambria" w:cs="Times New Roman"/>
          <w:b/>
          <w:bCs/>
          <w:color w:val="000000"/>
          <w:sz w:val="20"/>
          <w:szCs w:val="20"/>
        </w:rPr>
        <w:t>b</w:t>
      </w:r>
      <w:r w:rsidRPr="007F7EFB">
        <w:rPr>
          <w:rFonts w:ascii="Cambria" w:hAnsi="Cambria" w:cs="Times New Roman"/>
          <w:b/>
          <w:bCs/>
          <w:color w:val="000000"/>
          <w:sz w:val="20"/>
          <w:szCs w:val="20"/>
        </w:rPr>
        <w:t>)</w:t>
      </w:r>
      <w:r w:rsidRPr="00BD61CA">
        <w:rPr>
          <w:rFonts w:ascii="Cambria" w:hAnsi="Cambria" w:cs="Times New Roman"/>
          <w:bCs/>
          <w:color w:val="000000"/>
          <w:sz w:val="20"/>
          <w:szCs w:val="20"/>
        </w:rPr>
        <w:t>:</w:t>
      </w:r>
      <w:r w:rsidRPr="008F13FA">
        <w:rPr>
          <w:rFonts w:ascii="Cambria" w:hAnsi="Cambria" w:cs="Times New Roman"/>
          <w:bCs/>
          <w:color w:val="000000"/>
          <w:sz w:val="20"/>
          <w:szCs w:val="20"/>
        </w:rPr>
        <w:t xml:space="preserve"> Treguesit e Riskut të Normave të Interesit</w:t>
      </w:r>
    </w:p>
    <w:p w14:paraId="45A1EC00" w14:textId="77777777" w:rsidR="007F7EFB" w:rsidRPr="00BD61CA" w:rsidRDefault="007F7EFB" w:rsidP="007F7EFB">
      <w:pPr>
        <w:spacing w:line="276" w:lineRule="auto"/>
        <w:ind w:right="621"/>
        <w:jc w:val="center"/>
        <w:rPr>
          <w:rFonts w:ascii="Cambria" w:hAnsi="Cambria" w:cs="Times New Roman"/>
          <w:bCs/>
          <w:i/>
          <w:color w:val="000000"/>
          <w:sz w:val="20"/>
          <w:szCs w:val="20"/>
        </w:rPr>
      </w:pPr>
      <w:r w:rsidRPr="007F7EFB">
        <w:rPr>
          <w:rFonts w:ascii="Cambria" w:hAnsi="Cambria" w:cs="Times New Roman"/>
          <w:b/>
          <w:bCs/>
          <w:color w:val="000000"/>
          <w:sz w:val="20"/>
          <w:szCs w:val="20"/>
        </w:rPr>
        <w:t>Burimi:</w:t>
      </w:r>
      <w:r w:rsidRPr="008F13FA">
        <w:rPr>
          <w:rFonts w:ascii="Cambria" w:hAnsi="Cambria" w:cs="Times New Roman"/>
          <w:bCs/>
          <w:color w:val="000000"/>
          <w:sz w:val="20"/>
          <w:szCs w:val="20"/>
        </w:rPr>
        <w:t xml:space="preserve"> </w:t>
      </w:r>
      <w:r w:rsidRPr="00CF046E">
        <w:rPr>
          <w:rFonts w:ascii="Cambria" w:hAnsi="Cambria" w:cs="Times New Roman"/>
          <w:bCs/>
          <w:i/>
          <w:color w:val="000000"/>
          <w:sz w:val="20"/>
          <w:szCs w:val="20"/>
        </w:rPr>
        <w:t>Ministria e Financave dhe Ekonomisë, 2023</w:t>
      </w:r>
    </w:p>
    <w:p w14:paraId="6FE789C6" w14:textId="77777777" w:rsidR="007F7EFB" w:rsidRDefault="007F7EFB" w:rsidP="007F7EFB">
      <w:pPr>
        <w:spacing w:line="276" w:lineRule="auto"/>
        <w:ind w:right="621"/>
        <w:jc w:val="both"/>
        <w:rPr>
          <w:rFonts w:ascii="Cambria" w:hAnsi="Cambria" w:cs="Times New Roman"/>
          <w:bCs/>
          <w:i/>
          <w:color w:val="000000"/>
          <w:sz w:val="24"/>
          <w:szCs w:val="24"/>
          <w:u w:val="single"/>
        </w:rPr>
      </w:pPr>
    </w:p>
    <w:p w14:paraId="209D5F9A" w14:textId="77777777" w:rsidR="007F7EFB" w:rsidRPr="009D671C" w:rsidRDefault="007F7EFB" w:rsidP="007F7EFB">
      <w:pPr>
        <w:spacing w:line="276" w:lineRule="auto"/>
        <w:ind w:right="621"/>
        <w:jc w:val="both"/>
        <w:rPr>
          <w:rFonts w:ascii="Times New Roman" w:hAnsi="Times New Roman" w:cs="Times New Roman"/>
          <w:bCs/>
          <w:i/>
          <w:color w:val="000000"/>
          <w:sz w:val="24"/>
          <w:szCs w:val="24"/>
          <w:u w:val="single"/>
        </w:rPr>
      </w:pPr>
      <w:r w:rsidRPr="009D671C">
        <w:rPr>
          <w:rFonts w:ascii="Times New Roman" w:hAnsi="Times New Roman" w:cs="Times New Roman"/>
          <w:bCs/>
          <w:i/>
          <w:color w:val="000000"/>
          <w:sz w:val="24"/>
          <w:szCs w:val="24"/>
          <w:u w:val="single"/>
        </w:rPr>
        <w:t>Risku i Kursit të Këmbimit</w:t>
      </w:r>
    </w:p>
    <w:p w14:paraId="5069555C" w14:textId="6193F979" w:rsidR="007F7EFB" w:rsidRPr="009D671C" w:rsidRDefault="003A178A" w:rsidP="007F7EFB">
      <w:pPr>
        <w:spacing w:line="276" w:lineRule="auto"/>
        <w:ind w:right="4"/>
        <w:jc w:val="both"/>
        <w:rPr>
          <w:rFonts w:ascii="Times New Roman" w:hAnsi="Times New Roman" w:cs="Times New Roman"/>
          <w:bCs/>
          <w:color w:val="000000"/>
          <w:sz w:val="24"/>
          <w:szCs w:val="24"/>
        </w:rPr>
      </w:pPr>
      <w:r>
        <w:rPr>
          <w:rFonts w:ascii="Times New Roman" w:hAnsi="Times New Roman" w:cs="Times New Roman"/>
          <w:sz w:val="24"/>
          <w:szCs w:val="24"/>
        </w:rPr>
        <w:t>Ndryshe nga treguesit e tjerë</w:t>
      </w:r>
      <w:r w:rsidR="007F7EFB" w:rsidRPr="009D671C">
        <w:rPr>
          <w:rFonts w:ascii="Times New Roman" w:hAnsi="Times New Roman" w:cs="Times New Roman"/>
          <w:sz w:val="24"/>
          <w:szCs w:val="24"/>
        </w:rPr>
        <w:t>, risku i kursit të këmbimit</w:t>
      </w:r>
      <w:r>
        <w:rPr>
          <w:rFonts w:ascii="Times New Roman" w:hAnsi="Times New Roman" w:cs="Times New Roman"/>
          <w:sz w:val="24"/>
          <w:szCs w:val="24"/>
        </w:rPr>
        <w:t xml:space="preserve"> gjatë 2022 ka hasur një përmirësim të ndjeshëm. Ky tregues  ndër vite </w:t>
      </w:r>
      <w:r w:rsidR="007F7EFB" w:rsidRPr="009D671C">
        <w:rPr>
          <w:rFonts w:ascii="Times New Roman" w:hAnsi="Times New Roman" w:cs="Times New Roman"/>
          <w:sz w:val="24"/>
          <w:szCs w:val="24"/>
        </w:rPr>
        <w:t xml:space="preserve">është mbajtur </w:t>
      </w:r>
      <w:r>
        <w:rPr>
          <w:rFonts w:ascii="Times New Roman" w:hAnsi="Times New Roman" w:cs="Times New Roman"/>
          <w:sz w:val="24"/>
          <w:szCs w:val="24"/>
        </w:rPr>
        <w:t>në nivele të qëndrueshme duke</w:t>
      </w:r>
      <w:r w:rsidR="007F7EFB" w:rsidRPr="009D671C">
        <w:rPr>
          <w:rFonts w:ascii="Times New Roman" w:hAnsi="Times New Roman" w:cs="Times New Roman"/>
          <w:sz w:val="24"/>
          <w:szCs w:val="24"/>
        </w:rPr>
        <w:t xml:space="preserve"> qëndruar</w:t>
      </w:r>
      <w:r w:rsidR="007F7EFB" w:rsidRPr="009D671C">
        <w:rPr>
          <w:rFonts w:ascii="Times New Roman" w:eastAsiaTheme="majorEastAsia" w:hAnsi="Times New Roman" w:cs="Times New Roman"/>
          <w:iCs/>
          <w:color w:val="000000" w:themeColor="text1"/>
          <w:sz w:val="24"/>
          <w:szCs w:val="24"/>
        </w:rPr>
        <w:t xml:space="preserve"> nën tavanin e përcaktuar në strategji</w:t>
      </w:r>
      <w:r>
        <w:rPr>
          <w:rFonts w:ascii="Times New Roman" w:eastAsiaTheme="majorEastAsia" w:hAnsi="Times New Roman" w:cs="Times New Roman"/>
          <w:iCs/>
          <w:color w:val="000000" w:themeColor="text1"/>
          <w:sz w:val="24"/>
          <w:szCs w:val="24"/>
        </w:rPr>
        <w:t>në e borxhit (SAMB)</w:t>
      </w:r>
      <w:r w:rsidR="007F7EFB" w:rsidRPr="009D671C">
        <w:rPr>
          <w:rFonts w:ascii="Times New Roman" w:eastAsiaTheme="majorEastAsia" w:hAnsi="Times New Roman" w:cs="Times New Roman"/>
          <w:iCs/>
          <w:color w:val="000000" w:themeColor="text1"/>
          <w:sz w:val="24"/>
          <w:szCs w:val="24"/>
        </w:rPr>
        <w:t>. Konkretisht, totali i stokut të borxhit në valutë ndaj stokut të borxhit total rezultoi 46.8% në fund të vitit 2022, duke u ulur me 3 p.p, krahasuar me fundin e vitit 2021. Gjatë vitit 2022 ky tregues është ndikuar pjesërisht edhe nga nënçmimi i pjesës më të madhe të valutave të huaja, kryesisht Euros, kundrejt</w:t>
      </w:r>
      <w:r w:rsidR="007F7EFB" w:rsidRPr="00CE4F41">
        <w:rPr>
          <w:rFonts w:ascii="Cambria" w:eastAsiaTheme="majorEastAsia" w:hAnsi="Cambria" w:cs="Times New Roman"/>
          <w:iCs/>
          <w:color w:val="000000" w:themeColor="text1"/>
          <w:sz w:val="24"/>
          <w:szCs w:val="24"/>
        </w:rPr>
        <w:t xml:space="preserve"> Lekut, </w:t>
      </w:r>
      <w:r w:rsidR="007F7EFB" w:rsidRPr="009D671C">
        <w:rPr>
          <w:rFonts w:ascii="Times New Roman" w:eastAsiaTheme="majorEastAsia" w:hAnsi="Times New Roman" w:cs="Times New Roman"/>
          <w:iCs/>
          <w:color w:val="000000" w:themeColor="text1"/>
          <w:sz w:val="24"/>
          <w:szCs w:val="24"/>
        </w:rPr>
        <w:t xml:space="preserve">por gjithashtu është ndikuar nga një huamarrje e ulët nga burimet e jashtme, e cila në terma neto </w:t>
      </w:r>
      <w:r w:rsidR="007F7EFB" w:rsidRPr="009D671C">
        <w:rPr>
          <w:rFonts w:ascii="Times New Roman" w:eastAsiaTheme="majorEastAsia" w:hAnsi="Times New Roman" w:cs="Times New Roman"/>
          <w:iCs/>
          <w:color w:val="000000" w:themeColor="text1"/>
          <w:sz w:val="24"/>
          <w:szCs w:val="24"/>
        </w:rPr>
        <w:lastRenderedPageBreak/>
        <w:t>(diferenca ndërmjet huamarrjes së jashtme vjetore me borxhin e jashtëm të shlyer gjatë vitit) ka qenë në nivel negativ.</w:t>
      </w:r>
    </w:p>
    <w:p w14:paraId="73FC9006" w14:textId="3BED3E8A" w:rsidR="007F7EFB" w:rsidRPr="008F13FA" w:rsidRDefault="007F7EFB" w:rsidP="007F7EFB">
      <w:pPr>
        <w:keepNext/>
        <w:keepLines/>
        <w:spacing w:before="40" w:after="0" w:line="276" w:lineRule="auto"/>
        <w:ind w:right="621"/>
        <w:jc w:val="both"/>
        <w:outlineLvl w:val="3"/>
        <w:rPr>
          <w:rFonts w:ascii="Cambria" w:eastAsiaTheme="majorEastAsia" w:hAnsi="Cambria" w:cstheme="majorBidi"/>
          <w:iCs/>
          <w:color w:val="000000" w:themeColor="text1"/>
          <w:sz w:val="20"/>
          <w:szCs w:val="20"/>
        </w:rPr>
      </w:pPr>
      <w:r w:rsidRPr="008F13FA">
        <w:rPr>
          <w:rFonts w:ascii="Cambria" w:eastAsiaTheme="majorEastAsia" w:hAnsi="Cambria" w:cstheme="majorBidi"/>
          <w:iCs/>
          <w:noProof/>
          <w:color w:val="000000" w:themeColor="text1"/>
          <w:sz w:val="20"/>
          <w:szCs w:val="20"/>
          <w:highlight w:val="yellow"/>
          <w:lang w:val="en-US"/>
        </w:rPr>
        <w:drawing>
          <wp:anchor distT="0" distB="0" distL="114300" distR="114300" simplePos="0" relativeHeight="251918336" behindDoc="1" locked="0" layoutInCell="1" allowOverlap="1" wp14:anchorId="6503DB90" wp14:editId="1897DDED">
            <wp:simplePos x="0" y="0"/>
            <wp:positionH relativeFrom="column">
              <wp:posOffset>-1270</wp:posOffset>
            </wp:positionH>
            <wp:positionV relativeFrom="paragraph">
              <wp:posOffset>250825</wp:posOffset>
            </wp:positionV>
            <wp:extent cx="5807075" cy="1847850"/>
            <wp:effectExtent l="0" t="0" r="3175" b="0"/>
            <wp:wrapTight wrapText="bothSides">
              <wp:wrapPolygon edited="0">
                <wp:start x="0" y="0"/>
                <wp:lineTo x="0" y="21377"/>
                <wp:lineTo x="21541" y="21377"/>
                <wp:lineTo x="21541" y="0"/>
                <wp:lineTo x="0" y="0"/>
              </wp:wrapPolygon>
            </wp:wrapTight>
            <wp:docPr id="22" name="Chart 22">
              <a:extLst xmlns:a="http://schemas.openxmlformats.org/drawingml/2006/main">
                <a:ext uri="{FF2B5EF4-FFF2-40B4-BE49-F238E27FC236}">
                  <a16:creationId xmlns:a16="http://schemas.microsoft.com/office/drawing/2014/main" id="{00000000-0008-0000-1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7F7EFB">
        <w:rPr>
          <w:rFonts w:ascii="Cambria" w:hAnsi="Cambria" w:cs="Times New Roman"/>
          <w:b/>
          <w:bCs/>
          <w:color w:val="000000"/>
          <w:sz w:val="20"/>
          <w:szCs w:val="20"/>
        </w:rPr>
        <w:t xml:space="preserve"> Paraqitje Grafike 5.2 (</w:t>
      </w:r>
      <w:r>
        <w:rPr>
          <w:rFonts w:ascii="Cambria" w:hAnsi="Cambria" w:cs="Times New Roman"/>
          <w:b/>
          <w:bCs/>
          <w:color w:val="000000"/>
          <w:sz w:val="20"/>
          <w:szCs w:val="20"/>
        </w:rPr>
        <w:t>c</w:t>
      </w:r>
      <w:r w:rsidRPr="007F7EFB">
        <w:rPr>
          <w:rFonts w:ascii="Cambria" w:hAnsi="Cambria" w:cs="Times New Roman"/>
          <w:b/>
          <w:bCs/>
          <w:color w:val="000000"/>
          <w:sz w:val="20"/>
          <w:szCs w:val="20"/>
        </w:rPr>
        <w:t>)</w:t>
      </w:r>
      <w:r w:rsidRPr="00BD61CA">
        <w:rPr>
          <w:rFonts w:ascii="Cambria" w:eastAsiaTheme="majorEastAsia" w:hAnsi="Cambria" w:cstheme="majorBidi"/>
          <w:iCs/>
          <w:color w:val="000000" w:themeColor="text1"/>
          <w:sz w:val="20"/>
          <w:szCs w:val="20"/>
        </w:rPr>
        <w:t>: Risku</w:t>
      </w:r>
      <w:r w:rsidRPr="008F13FA">
        <w:rPr>
          <w:rFonts w:ascii="Cambria" w:eastAsiaTheme="majorEastAsia" w:hAnsi="Cambria" w:cstheme="majorBidi"/>
          <w:iCs/>
          <w:color w:val="000000" w:themeColor="text1"/>
          <w:sz w:val="20"/>
          <w:szCs w:val="20"/>
        </w:rPr>
        <w:t xml:space="preserve"> i Kursit të Këmbimit</w:t>
      </w:r>
    </w:p>
    <w:p w14:paraId="3B2E1BB5" w14:textId="77777777" w:rsidR="007F7EFB" w:rsidRPr="008F13FA" w:rsidRDefault="007F7EFB" w:rsidP="007F7EFB">
      <w:pPr>
        <w:spacing w:line="276" w:lineRule="auto"/>
        <w:ind w:right="621"/>
        <w:jc w:val="center"/>
        <w:rPr>
          <w:rFonts w:ascii="Cambria" w:hAnsi="Cambria" w:cs="Times New Roman"/>
          <w:bCs/>
          <w:color w:val="000000"/>
          <w:sz w:val="20"/>
          <w:szCs w:val="20"/>
        </w:rPr>
      </w:pPr>
      <w:r w:rsidRPr="007F7EFB">
        <w:rPr>
          <w:rFonts w:ascii="Cambria" w:hAnsi="Cambria" w:cs="Times New Roman"/>
          <w:b/>
          <w:bCs/>
          <w:color w:val="000000"/>
          <w:sz w:val="20"/>
          <w:szCs w:val="20"/>
        </w:rPr>
        <w:t>Burimi:</w:t>
      </w:r>
      <w:r w:rsidRPr="008F13FA">
        <w:rPr>
          <w:rFonts w:ascii="Cambria" w:hAnsi="Cambria" w:cs="Times New Roman"/>
          <w:bCs/>
          <w:color w:val="000000"/>
          <w:sz w:val="20"/>
          <w:szCs w:val="20"/>
        </w:rPr>
        <w:t xml:space="preserve"> </w:t>
      </w:r>
      <w:r w:rsidRPr="00CF046E">
        <w:rPr>
          <w:rFonts w:ascii="Cambria" w:hAnsi="Cambria" w:cs="Times New Roman"/>
          <w:bCs/>
          <w:i/>
          <w:color w:val="000000"/>
          <w:sz w:val="20"/>
          <w:szCs w:val="20"/>
        </w:rPr>
        <w:t>Ministria e Financave dhe Ekonomisë, 2023</w:t>
      </w:r>
    </w:p>
    <w:p w14:paraId="07533B58" w14:textId="77777777" w:rsidR="00D13DEF" w:rsidRPr="005F7575" w:rsidRDefault="00D13DEF" w:rsidP="009E0485">
      <w:pPr>
        <w:tabs>
          <w:tab w:val="left" w:pos="555"/>
          <w:tab w:val="left" w:pos="1182"/>
        </w:tabs>
        <w:spacing w:after="0" w:line="276" w:lineRule="auto"/>
        <w:ind w:right="-46"/>
        <w:jc w:val="both"/>
        <w:rPr>
          <w:rFonts w:ascii="Times New Roman" w:hAnsi="Times New Roman" w:cs="Times New Roman"/>
          <w:noProof/>
          <w:sz w:val="28"/>
          <w:szCs w:val="24"/>
        </w:rPr>
      </w:pPr>
    </w:p>
    <w:p w14:paraId="4B6E77B3" w14:textId="77777777" w:rsidR="00C04FF4" w:rsidRPr="005F7575" w:rsidRDefault="00406EB7" w:rsidP="000D1771">
      <w:pPr>
        <w:pStyle w:val="Heading1"/>
        <w:numPr>
          <w:ilvl w:val="0"/>
          <w:numId w:val="5"/>
        </w:numPr>
        <w:spacing w:before="0" w:line="276" w:lineRule="auto"/>
        <w:ind w:left="425" w:right="-45" w:hanging="425"/>
        <w:jc w:val="both"/>
        <w:rPr>
          <w:rFonts w:ascii="Cambria" w:hAnsi="Cambria"/>
          <w:color w:val="C00000"/>
          <w:sz w:val="24"/>
          <w:szCs w:val="24"/>
        </w:rPr>
      </w:pPr>
      <w:bookmarkStart w:id="14" w:name="_Toc34645070"/>
      <w:r w:rsidRPr="005F7575">
        <w:rPr>
          <w:rFonts w:ascii="Cambria" w:hAnsi="Cambria"/>
          <w:color w:val="C00000"/>
          <w:sz w:val="24"/>
          <w:szCs w:val="24"/>
        </w:rPr>
        <w:t>Zhvillimet e Tregut Primar t</w:t>
      </w:r>
      <w:r w:rsidR="00D7649A" w:rsidRPr="005F7575">
        <w:rPr>
          <w:rFonts w:ascii="Cambria" w:hAnsi="Cambria"/>
          <w:color w:val="C00000"/>
          <w:sz w:val="24"/>
          <w:szCs w:val="24"/>
        </w:rPr>
        <w:t>ë</w:t>
      </w:r>
      <w:r w:rsidR="004769A2" w:rsidRPr="005F7575">
        <w:rPr>
          <w:rFonts w:ascii="Cambria" w:hAnsi="Cambria"/>
          <w:color w:val="C00000"/>
          <w:sz w:val="24"/>
          <w:szCs w:val="24"/>
        </w:rPr>
        <w:t xml:space="preserve"> Titujve S</w:t>
      </w:r>
      <w:r w:rsidRPr="005F7575">
        <w:rPr>
          <w:rFonts w:ascii="Cambria" w:hAnsi="Cambria"/>
          <w:color w:val="C00000"/>
          <w:sz w:val="24"/>
          <w:szCs w:val="24"/>
        </w:rPr>
        <w:t>htet</w:t>
      </w:r>
      <w:r w:rsidR="00D7649A" w:rsidRPr="005F7575">
        <w:rPr>
          <w:rFonts w:ascii="Cambria" w:hAnsi="Cambria"/>
          <w:color w:val="C00000"/>
          <w:sz w:val="24"/>
          <w:szCs w:val="24"/>
        </w:rPr>
        <w:t>ë</w:t>
      </w:r>
      <w:r w:rsidRPr="005F7575">
        <w:rPr>
          <w:rFonts w:ascii="Cambria" w:hAnsi="Cambria"/>
          <w:color w:val="C00000"/>
          <w:sz w:val="24"/>
          <w:szCs w:val="24"/>
        </w:rPr>
        <w:t>ror</w:t>
      </w:r>
      <w:r w:rsidR="00D12711" w:rsidRPr="005F7575">
        <w:rPr>
          <w:rFonts w:ascii="Cambria" w:hAnsi="Cambria"/>
          <w:color w:val="C00000"/>
          <w:sz w:val="24"/>
          <w:szCs w:val="24"/>
        </w:rPr>
        <w:t>ë</w:t>
      </w:r>
      <w:bookmarkEnd w:id="14"/>
    </w:p>
    <w:p w14:paraId="19517DD7" w14:textId="77777777" w:rsidR="0001373B" w:rsidRDefault="0001373B" w:rsidP="0001373B">
      <w:pPr>
        <w:tabs>
          <w:tab w:val="left" w:pos="1182"/>
        </w:tabs>
        <w:spacing w:after="0" w:line="276" w:lineRule="auto"/>
        <w:ind w:right="-46"/>
        <w:jc w:val="both"/>
        <w:rPr>
          <w:rFonts w:ascii="Times New Roman" w:hAnsi="Times New Roman" w:cs="Times New Roman"/>
          <w:sz w:val="20"/>
          <w:szCs w:val="20"/>
        </w:rPr>
      </w:pPr>
    </w:p>
    <w:p w14:paraId="33651241" w14:textId="77777777" w:rsidR="007F7EFB" w:rsidRPr="007F7EFB" w:rsidRDefault="007F7EFB" w:rsidP="007F7EFB">
      <w:pPr>
        <w:tabs>
          <w:tab w:val="left" w:pos="1182"/>
          <w:tab w:val="left" w:pos="9214"/>
        </w:tabs>
        <w:spacing w:after="0" w:line="276" w:lineRule="auto"/>
        <w:ind w:right="-46"/>
        <w:jc w:val="both"/>
        <w:rPr>
          <w:rFonts w:ascii="Times New Roman" w:hAnsi="Times New Roman" w:cs="Times New Roman"/>
          <w:sz w:val="24"/>
          <w:szCs w:val="24"/>
        </w:rPr>
      </w:pPr>
      <w:r w:rsidRPr="007F7EFB">
        <w:rPr>
          <w:rFonts w:ascii="Times New Roman" w:hAnsi="Times New Roman" w:cs="Times New Roman"/>
          <w:sz w:val="24"/>
          <w:szCs w:val="24"/>
        </w:rPr>
        <w:t>Viti 2022 u karakterizua nga një pasiguri në tregun primar vendas. Pasiguria e lartë, rritja e normës bazë të interesit në tregun vendas, si edhe pritshmëritë për rritje të mëtejshme të normave të interesit në përgjigje të inflacionit të rritur, ndikuan në uljen e kërkesës për tituj shtetërore gjatë 9 muajve të parë të vitit. Kjo situatë u përmirësua ndjeshëm në tremujorin e fundit të vitit ku kërkesa për tituj shtetërore u rikthye në nivele të kënaqshme, dhe arriti të përmbushë nevojat e qeverisë për huamarrje. Kërkesa për tituj shtetërorë ka qenë kryesisht e drejtuar drejt titujve afatshkurtër. Ajo ka vazhduar të mbështetet tek investitorët vendas (rezidentë), ndërkohë që sektori bankar mbetet burimi kryesor i kërkesës.</w:t>
      </w:r>
    </w:p>
    <w:p w14:paraId="40B3237C" w14:textId="77777777" w:rsidR="007F7EFB" w:rsidRPr="005F7575" w:rsidRDefault="007F7EFB" w:rsidP="0001373B">
      <w:pPr>
        <w:tabs>
          <w:tab w:val="left" w:pos="1182"/>
        </w:tabs>
        <w:spacing w:after="0" w:line="276" w:lineRule="auto"/>
        <w:ind w:right="-46"/>
        <w:jc w:val="both"/>
        <w:rPr>
          <w:rFonts w:ascii="Times New Roman" w:hAnsi="Times New Roman" w:cs="Times New Roman"/>
          <w:sz w:val="20"/>
          <w:szCs w:val="20"/>
        </w:rPr>
      </w:pPr>
    </w:p>
    <w:p w14:paraId="66555EC5" w14:textId="77777777" w:rsidR="0039438E" w:rsidRPr="005F7575" w:rsidRDefault="0039438E" w:rsidP="00C20967">
      <w:pPr>
        <w:pStyle w:val="Heading2"/>
        <w:numPr>
          <w:ilvl w:val="1"/>
          <w:numId w:val="5"/>
        </w:numPr>
        <w:spacing w:before="0" w:line="276" w:lineRule="auto"/>
        <w:ind w:left="0" w:right="-45" w:firstLine="0"/>
        <w:jc w:val="both"/>
        <w:rPr>
          <w:rFonts w:ascii="Cambria" w:hAnsi="Cambria"/>
        </w:rPr>
      </w:pPr>
      <w:bookmarkStart w:id="15" w:name="_Toc491861001"/>
      <w:bookmarkStart w:id="16" w:name="_Toc491954314"/>
      <w:bookmarkStart w:id="17" w:name="_Toc34645071"/>
      <w:r w:rsidRPr="005F7575">
        <w:rPr>
          <w:rFonts w:ascii="Cambria" w:hAnsi="Cambria"/>
        </w:rPr>
        <w:t>Ecuria e ankandeve dhe kërkesa për titujt shtetërorë</w:t>
      </w:r>
      <w:bookmarkEnd w:id="15"/>
      <w:bookmarkEnd w:id="16"/>
      <w:bookmarkEnd w:id="17"/>
    </w:p>
    <w:p w14:paraId="74219836" w14:textId="77777777" w:rsidR="00C20967" w:rsidRPr="00DB3C91" w:rsidRDefault="00C20967" w:rsidP="00C20967">
      <w:pPr>
        <w:spacing w:after="0" w:line="276" w:lineRule="auto"/>
        <w:rPr>
          <w:sz w:val="20"/>
          <w:highlight w:val="yellow"/>
        </w:rPr>
      </w:pPr>
    </w:p>
    <w:p w14:paraId="1F2121A4" w14:textId="02161B61" w:rsidR="005F7575" w:rsidRDefault="00FF5771" w:rsidP="00315064">
      <w:pPr>
        <w:tabs>
          <w:tab w:val="left" w:pos="1182"/>
        </w:tabs>
        <w:spacing w:after="0" w:line="276" w:lineRule="auto"/>
        <w:ind w:right="-46"/>
        <w:jc w:val="both"/>
        <w:rPr>
          <w:rFonts w:ascii="Times New Roman" w:eastAsia="SimSun" w:hAnsi="Times New Roman" w:cs="Times New Roman"/>
          <w:sz w:val="24"/>
          <w:szCs w:val="24"/>
        </w:rPr>
      </w:pPr>
      <w:r w:rsidRPr="00315064">
        <w:rPr>
          <w:rFonts w:ascii="Times New Roman" w:hAnsi="Times New Roman" w:cs="Times New Roman"/>
          <w:sz w:val="24"/>
          <w:szCs w:val="24"/>
        </w:rPr>
        <w:t xml:space="preserve">Gjatë </w:t>
      </w:r>
      <w:r w:rsidR="005F7575" w:rsidRPr="00315064">
        <w:rPr>
          <w:rFonts w:ascii="Times New Roman" w:hAnsi="Times New Roman" w:cs="Times New Roman"/>
          <w:sz w:val="24"/>
          <w:szCs w:val="24"/>
        </w:rPr>
        <w:t xml:space="preserve">2022 kërkesa për tituj shtetërorë ka rezultuar në vlerën </w:t>
      </w:r>
      <w:r w:rsidR="008B3DE0" w:rsidRPr="00315064">
        <w:rPr>
          <w:rFonts w:ascii="Times New Roman" w:hAnsi="Times New Roman" w:cs="Times New Roman"/>
          <w:sz w:val="24"/>
          <w:szCs w:val="24"/>
        </w:rPr>
        <w:t>4</w:t>
      </w:r>
      <w:r w:rsidR="00315064" w:rsidRPr="00315064">
        <w:rPr>
          <w:rFonts w:ascii="Times New Roman" w:hAnsi="Times New Roman" w:cs="Times New Roman"/>
          <w:sz w:val="24"/>
          <w:szCs w:val="24"/>
        </w:rPr>
        <w:t>51.2</w:t>
      </w:r>
      <w:r w:rsidR="005F7575" w:rsidRPr="00315064">
        <w:rPr>
          <w:rFonts w:ascii="Times New Roman" w:hAnsi="Times New Roman" w:cs="Times New Roman"/>
          <w:sz w:val="24"/>
          <w:szCs w:val="24"/>
        </w:rPr>
        <w:t xml:space="preserve"> miliard Lekë, nga të cilat </w:t>
      </w:r>
      <w:r w:rsidR="008B3DE0" w:rsidRPr="00315064">
        <w:rPr>
          <w:rFonts w:ascii="Times New Roman" w:hAnsi="Times New Roman" w:cs="Times New Roman"/>
          <w:sz w:val="24"/>
          <w:szCs w:val="24"/>
        </w:rPr>
        <w:t>297.6</w:t>
      </w:r>
      <w:r w:rsidR="005F7575" w:rsidRPr="00315064">
        <w:rPr>
          <w:rFonts w:ascii="Times New Roman" w:hAnsi="Times New Roman" w:cs="Times New Roman"/>
          <w:sz w:val="24"/>
          <w:szCs w:val="24"/>
        </w:rPr>
        <w:t xml:space="preserve"> miliard Lekë për bono thesari dhe </w:t>
      </w:r>
      <w:r w:rsidR="00315064" w:rsidRPr="00315064">
        <w:rPr>
          <w:rFonts w:ascii="Times New Roman" w:hAnsi="Times New Roman" w:cs="Times New Roman"/>
          <w:sz w:val="24"/>
          <w:szCs w:val="24"/>
        </w:rPr>
        <w:t>153.6</w:t>
      </w:r>
      <w:r w:rsidR="005F7575" w:rsidRPr="00315064">
        <w:rPr>
          <w:rFonts w:ascii="Times New Roman" w:hAnsi="Times New Roman" w:cs="Times New Roman"/>
          <w:sz w:val="24"/>
          <w:szCs w:val="24"/>
        </w:rPr>
        <w:t xml:space="preserve"> miliard Lekë për obligacione</w:t>
      </w:r>
      <w:r w:rsidR="008B3DE0" w:rsidRPr="00315064">
        <w:rPr>
          <w:rFonts w:ascii="Times New Roman" w:hAnsi="Times New Roman" w:cs="Times New Roman"/>
          <w:sz w:val="24"/>
          <w:szCs w:val="24"/>
        </w:rPr>
        <w:t>.</w:t>
      </w:r>
      <w:r w:rsidR="008B3DE0" w:rsidRPr="00315064">
        <w:rPr>
          <w:rFonts w:ascii="Times New Roman" w:eastAsia="SimSun" w:hAnsi="Times New Roman" w:cs="Times New Roman"/>
          <w:sz w:val="24"/>
          <w:szCs w:val="24"/>
        </w:rPr>
        <w:t xml:space="preserve"> Gjatë </w:t>
      </w:r>
      <w:r w:rsidR="00F1768E" w:rsidRPr="00315064">
        <w:rPr>
          <w:rFonts w:ascii="Times New Roman" w:eastAsia="SimSun" w:hAnsi="Times New Roman" w:cs="Times New Roman"/>
          <w:sz w:val="24"/>
          <w:szCs w:val="24"/>
        </w:rPr>
        <w:t>vitit 2022</w:t>
      </w:r>
      <w:r w:rsidR="005F7575" w:rsidRPr="00315064">
        <w:rPr>
          <w:rFonts w:ascii="Times New Roman" w:eastAsia="SimSun" w:hAnsi="Times New Roman" w:cs="Times New Roman"/>
          <w:sz w:val="24"/>
          <w:szCs w:val="24"/>
        </w:rPr>
        <w:t>, Ministria e Financav</w:t>
      </w:r>
      <w:r w:rsidR="00F1768E" w:rsidRPr="00315064">
        <w:rPr>
          <w:rFonts w:ascii="Times New Roman" w:eastAsia="SimSun" w:hAnsi="Times New Roman" w:cs="Times New Roman"/>
          <w:sz w:val="24"/>
          <w:szCs w:val="24"/>
        </w:rPr>
        <w:t xml:space="preserve">e dhe Ekonomisë ka organizuar </w:t>
      </w:r>
      <w:r w:rsidR="00315064" w:rsidRPr="00315064">
        <w:rPr>
          <w:rFonts w:ascii="Times New Roman" w:eastAsia="SimSun" w:hAnsi="Times New Roman" w:cs="Times New Roman"/>
          <w:sz w:val="24"/>
          <w:szCs w:val="24"/>
        </w:rPr>
        <w:t>87</w:t>
      </w:r>
      <w:r w:rsidR="005F7575" w:rsidRPr="00315064">
        <w:rPr>
          <w:rFonts w:ascii="Times New Roman" w:eastAsia="SimSun" w:hAnsi="Times New Roman" w:cs="Times New Roman"/>
          <w:sz w:val="24"/>
          <w:szCs w:val="24"/>
        </w:rPr>
        <w:t xml:space="preserve"> ankande, </w:t>
      </w:r>
      <w:r w:rsidR="007F7EFB">
        <w:rPr>
          <w:rFonts w:ascii="Times New Roman" w:eastAsia="SimSun" w:hAnsi="Times New Roman" w:cs="Times New Roman"/>
          <w:sz w:val="24"/>
          <w:szCs w:val="24"/>
        </w:rPr>
        <w:t xml:space="preserve">ku perreth </w:t>
      </w:r>
      <w:r w:rsidR="005F7575" w:rsidRPr="00315064">
        <w:rPr>
          <w:rFonts w:ascii="Times New Roman" w:eastAsia="SimSun" w:hAnsi="Times New Roman" w:cs="Times New Roman"/>
          <w:sz w:val="24"/>
          <w:szCs w:val="24"/>
        </w:rPr>
        <w:t>gjysma e të cilave nuk janë mbuluar. Të gjitha ankandet e pambuluara janë zhvilluar pas fillimit të luftës në Ukrainë. Mospërmbushja e ankandeve ka ardhur kryesisht nga pasiguritë në  treg si edhe nga pritshmëritë për rritje te normave të interesit në të ardhmen.</w:t>
      </w:r>
      <w:r w:rsidR="005F7575" w:rsidRPr="005F7575">
        <w:rPr>
          <w:rFonts w:ascii="Times New Roman" w:eastAsia="SimSun" w:hAnsi="Times New Roman" w:cs="Times New Roman"/>
          <w:sz w:val="24"/>
          <w:szCs w:val="24"/>
        </w:rPr>
        <w:t xml:space="preserve"> </w:t>
      </w:r>
    </w:p>
    <w:p w14:paraId="5ABF3BE8" w14:textId="77777777" w:rsidR="007F7EFB" w:rsidRDefault="007F7EFB" w:rsidP="00315064">
      <w:pPr>
        <w:tabs>
          <w:tab w:val="left" w:pos="1182"/>
        </w:tabs>
        <w:spacing w:after="0" w:line="276" w:lineRule="auto"/>
        <w:ind w:right="-46"/>
        <w:jc w:val="both"/>
        <w:rPr>
          <w:rFonts w:ascii="Times New Roman" w:eastAsia="SimSun" w:hAnsi="Times New Roman" w:cs="Times New Roman"/>
          <w:sz w:val="24"/>
          <w:szCs w:val="24"/>
        </w:rPr>
      </w:pPr>
    </w:p>
    <w:p w14:paraId="5276F14E" w14:textId="77777777" w:rsidR="007F7EFB" w:rsidRDefault="007F7EFB" w:rsidP="00315064">
      <w:pPr>
        <w:tabs>
          <w:tab w:val="left" w:pos="1182"/>
        </w:tabs>
        <w:spacing w:after="0" w:line="276" w:lineRule="auto"/>
        <w:ind w:right="-46"/>
        <w:jc w:val="both"/>
        <w:rPr>
          <w:rFonts w:ascii="Times New Roman" w:eastAsia="SimSun" w:hAnsi="Times New Roman" w:cs="Times New Roman"/>
          <w:sz w:val="24"/>
          <w:szCs w:val="24"/>
        </w:rPr>
      </w:pPr>
    </w:p>
    <w:p w14:paraId="1996FA73"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5012CEF7"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7C9AB49D"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560FF7E6"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3DA61EFA"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28FF304B" w14:textId="77777777" w:rsidR="009D671C" w:rsidRDefault="009D671C" w:rsidP="00315064">
      <w:pPr>
        <w:tabs>
          <w:tab w:val="left" w:pos="1182"/>
        </w:tabs>
        <w:spacing w:after="0" w:line="276" w:lineRule="auto"/>
        <w:ind w:right="-46"/>
        <w:jc w:val="both"/>
        <w:rPr>
          <w:rFonts w:ascii="Times New Roman" w:eastAsia="SimSun" w:hAnsi="Times New Roman" w:cs="Times New Roman"/>
          <w:sz w:val="24"/>
          <w:szCs w:val="24"/>
        </w:rPr>
      </w:pPr>
    </w:p>
    <w:p w14:paraId="381417B3" w14:textId="77777777" w:rsidR="007F7EFB" w:rsidRPr="005F7575" w:rsidRDefault="007F7EFB" w:rsidP="00315064">
      <w:pPr>
        <w:tabs>
          <w:tab w:val="left" w:pos="1182"/>
        </w:tabs>
        <w:spacing w:after="0" w:line="276" w:lineRule="auto"/>
        <w:ind w:right="-46"/>
        <w:jc w:val="both"/>
        <w:rPr>
          <w:rFonts w:ascii="Times New Roman" w:eastAsia="SimSun" w:hAnsi="Times New Roman" w:cs="Times New Roman"/>
          <w:sz w:val="24"/>
          <w:szCs w:val="24"/>
        </w:rPr>
      </w:pPr>
    </w:p>
    <w:p w14:paraId="44FFB4C4" w14:textId="77777777" w:rsidR="00CC5CEF" w:rsidRDefault="00CC5CEF" w:rsidP="007F7EFB">
      <w:pPr>
        <w:tabs>
          <w:tab w:val="left" w:pos="1182"/>
        </w:tabs>
        <w:spacing w:after="0" w:line="276" w:lineRule="auto"/>
        <w:ind w:right="-46"/>
        <w:rPr>
          <w:rFonts w:ascii="Cambria" w:hAnsi="Cambria" w:cs="Times New Roman"/>
          <w:b/>
          <w:sz w:val="20"/>
          <w:szCs w:val="20"/>
        </w:rPr>
      </w:pPr>
    </w:p>
    <w:p w14:paraId="5B9B9965" w14:textId="41061C8A" w:rsidR="00DA1DA3" w:rsidRPr="005F7575" w:rsidRDefault="006C78A7" w:rsidP="00FC2F2F">
      <w:pPr>
        <w:tabs>
          <w:tab w:val="left" w:pos="1182"/>
        </w:tabs>
        <w:spacing w:after="0" w:line="276" w:lineRule="auto"/>
        <w:ind w:right="-46"/>
        <w:jc w:val="center"/>
        <w:rPr>
          <w:rFonts w:ascii="Cambria" w:hAnsi="Cambria" w:cs="Times New Roman"/>
          <w:i/>
          <w:sz w:val="20"/>
          <w:szCs w:val="20"/>
        </w:rPr>
      </w:pPr>
      <w:r w:rsidRPr="009624B3">
        <w:rPr>
          <w:rFonts w:ascii="Cambria" w:hAnsi="Cambria" w:cs="Times New Roman"/>
          <w:b/>
          <w:sz w:val="20"/>
          <w:szCs w:val="20"/>
        </w:rPr>
        <w:lastRenderedPageBreak/>
        <w:t xml:space="preserve">Paraqitje Grafike </w:t>
      </w:r>
      <w:r w:rsidR="00113EA3" w:rsidRPr="009624B3">
        <w:rPr>
          <w:rFonts w:ascii="Cambria" w:hAnsi="Cambria" w:cs="Times New Roman"/>
          <w:b/>
          <w:sz w:val="20"/>
          <w:szCs w:val="20"/>
        </w:rPr>
        <w:t xml:space="preserve">6.1 </w:t>
      </w:r>
      <w:r w:rsidR="00772B83" w:rsidRPr="009624B3">
        <w:rPr>
          <w:rFonts w:ascii="Cambria" w:hAnsi="Cambria" w:cs="Times New Roman"/>
          <w:b/>
          <w:sz w:val="20"/>
          <w:szCs w:val="20"/>
        </w:rPr>
        <w:t xml:space="preserve">: </w:t>
      </w:r>
      <w:r w:rsidR="00DA1DA3" w:rsidRPr="009624B3">
        <w:rPr>
          <w:rFonts w:ascii="Cambria" w:hAnsi="Cambria" w:cs="Times New Roman"/>
          <w:i/>
          <w:sz w:val="20"/>
          <w:szCs w:val="20"/>
        </w:rPr>
        <w:t>Raporti i mbulimit të ankandeve të titujve shtetërorë</w:t>
      </w:r>
      <w:r w:rsidR="00772B83" w:rsidRPr="009624B3">
        <w:rPr>
          <w:rFonts w:ascii="Cambria" w:hAnsi="Cambria" w:cs="Times New Roman"/>
          <w:i/>
          <w:sz w:val="20"/>
          <w:szCs w:val="20"/>
        </w:rPr>
        <w:t xml:space="preserve"> (</w:t>
      </w:r>
      <w:r w:rsidR="00B459C4" w:rsidRPr="009624B3">
        <w:rPr>
          <w:rFonts w:ascii="Cambria" w:hAnsi="Cambria" w:cs="Times New Roman"/>
          <w:i/>
          <w:sz w:val="20"/>
          <w:szCs w:val="20"/>
        </w:rPr>
        <w:t>Janar-</w:t>
      </w:r>
      <w:r w:rsidR="009624B3" w:rsidRPr="009624B3">
        <w:rPr>
          <w:rFonts w:ascii="Cambria" w:hAnsi="Cambria" w:cs="Times New Roman"/>
          <w:i/>
          <w:sz w:val="20"/>
          <w:szCs w:val="20"/>
        </w:rPr>
        <w:t>Dhjetor</w:t>
      </w:r>
      <w:r w:rsidR="005F7575" w:rsidRPr="009624B3">
        <w:rPr>
          <w:rFonts w:ascii="Cambria" w:hAnsi="Cambria" w:cs="Times New Roman"/>
          <w:i/>
          <w:sz w:val="20"/>
          <w:szCs w:val="20"/>
        </w:rPr>
        <w:t xml:space="preserve"> 2022</w:t>
      </w:r>
      <w:r w:rsidR="00772B83" w:rsidRPr="009624B3">
        <w:rPr>
          <w:rFonts w:ascii="Cambria" w:hAnsi="Cambria" w:cs="Times New Roman"/>
          <w:i/>
          <w:sz w:val="20"/>
          <w:szCs w:val="20"/>
        </w:rPr>
        <w:t>)</w:t>
      </w:r>
    </w:p>
    <w:p w14:paraId="7B58A41C" w14:textId="7BAE2FD7" w:rsidR="001E50CB" w:rsidRPr="005F7575" w:rsidRDefault="00680C14" w:rsidP="00FC2F2F">
      <w:pPr>
        <w:tabs>
          <w:tab w:val="left" w:pos="1182"/>
        </w:tabs>
        <w:spacing w:after="0" w:line="276" w:lineRule="auto"/>
        <w:ind w:right="-46"/>
        <w:jc w:val="center"/>
        <w:rPr>
          <w:rFonts w:ascii="Cambria" w:hAnsi="Cambria" w:cs="Times New Roman"/>
          <w:sz w:val="20"/>
          <w:szCs w:val="20"/>
        </w:rPr>
      </w:pPr>
      <w:r>
        <w:rPr>
          <w:noProof/>
          <w:lang w:val="en-US"/>
        </w:rPr>
        <w:drawing>
          <wp:inline distT="0" distB="0" distL="0" distR="0" wp14:anchorId="646E429D" wp14:editId="38751D27">
            <wp:extent cx="5829300" cy="2461097"/>
            <wp:effectExtent l="0" t="0" r="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9CC002" w14:textId="181A0A59" w:rsidR="004A5FF7" w:rsidRPr="005F7575" w:rsidRDefault="009D6626" w:rsidP="00591F30">
      <w:pPr>
        <w:tabs>
          <w:tab w:val="left" w:pos="1182"/>
        </w:tabs>
        <w:spacing w:after="0" w:line="276" w:lineRule="auto"/>
        <w:ind w:right="-46"/>
        <w:jc w:val="center"/>
        <w:rPr>
          <w:rFonts w:ascii="Cambria" w:hAnsi="Cambria" w:cs="Times New Roman"/>
          <w:i/>
          <w:sz w:val="20"/>
          <w:szCs w:val="20"/>
        </w:rPr>
      </w:pPr>
      <w:r w:rsidRPr="005F7575">
        <w:rPr>
          <w:rFonts w:ascii="Cambria" w:hAnsi="Cambria" w:cs="Times New Roman"/>
          <w:b/>
          <w:sz w:val="20"/>
          <w:szCs w:val="20"/>
        </w:rPr>
        <w:t xml:space="preserve">Burimi: </w:t>
      </w:r>
      <w:r w:rsidRPr="005F7575">
        <w:rPr>
          <w:rFonts w:ascii="Cambria" w:hAnsi="Cambria" w:cs="Times New Roman"/>
          <w:i/>
          <w:sz w:val="20"/>
          <w:szCs w:val="20"/>
        </w:rPr>
        <w:t xml:space="preserve">Ministria </w:t>
      </w:r>
      <w:r w:rsidR="004A5FF7" w:rsidRPr="005F7575">
        <w:rPr>
          <w:rFonts w:ascii="Cambria" w:hAnsi="Cambria" w:cs="Times New Roman"/>
          <w:i/>
          <w:sz w:val="20"/>
          <w:szCs w:val="20"/>
        </w:rPr>
        <w:t>e Financave dhe Ekonomisë (20</w:t>
      </w:r>
      <w:r w:rsidR="00591F30" w:rsidRPr="005F7575">
        <w:rPr>
          <w:rFonts w:ascii="Cambria" w:hAnsi="Cambria" w:cs="Times New Roman"/>
          <w:i/>
          <w:sz w:val="20"/>
          <w:szCs w:val="20"/>
        </w:rPr>
        <w:t>2</w:t>
      </w:r>
      <w:r w:rsidR="007F7EFB">
        <w:rPr>
          <w:rFonts w:ascii="Cambria" w:hAnsi="Cambria" w:cs="Times New Roman"/>
          <w:i/>
          <w:sz w:val="20"/>
          <w:szCs w:val="20"/>
        </w:rPr>
        <w:t>3</w:t>
      </w:r>
      <w:r w:rsidR="00C064AA" w:rsidRPr="005F7575">
        <w:rPr>
          <w:rFonts w:ascii="Cambria" w:hAnsi="Cambria" w:cs="Times New Roman"/>
          <w:i/>
          <w:sz w:val="20"/>
          <w:szCs w:val="20"/>
        </w:rPr>
        <w:t>)</w:t>
      </w:r>
    </w:p>
    <w:p w14:paraId="227ECDB1" w14:textId="77777777" w:rsidR="00B459C4" w:rsidRPr="00DB3C91" w:rsidRDefault="00B459C4" w:rsidP="00E93B2E">
      <w:pPr>
        <w:spacing w:after="0" w:line="276" w:lineRule="auto"/>
        <w:ind w:right="-46"/>
        <w:jc w:val="both"/>
        <w:rPr>
          <w:rFonts w:ascii="Times New Roman" w:hAnsi="Times New Roman" w:cs="Times New Roman"/>
          <w:noProof/>
          <w:sz w:val="24"/>
          <w:szCs w:val="24"/>
          <w:highlight w:val="yellow"/>
        </w:rPr>
      </w:pPr>
    </w:p>
    <w:p w14:paraId="60943904" w14:textId="77777777" w:rsidR="007F7EFB" w:rsidRDefault="007F7EFB" w:rsidP="005F7575">
      <w:pPr>
        <w:spacing w:after="0" w:line="276" w:lineRule="auto"/>
        <w:ind w:right="-46"/>
        <w:jc w:val="both"/>
        <w:rPr>
          <w:rFonts w:ascii="Times New Roman" w:hAnsi="Times New Roman" w:cs="Times New Roman"/>
          <w:noProof/>
          <w:sz w:val="24"/>
          <w:szCs w:val="24"/>
        </w:rPr>
      </w:pPr>
    </w:p>
    <w:p w14:paraId="044B5B0D" w14:textId="04D691C5" w:rsidR="005F7575" w:rsidRPr="009D671C" w:rsidRDefault="005F7575" w:rsidP="005F7575">
      <w:pPr>
        <w:spacing w:after="0" w:line="276" w:lineRule="auto"/>
        <w:ind w:right="-46"/>
        <w:jc w:val="both"/>
        <w:rPr>
          <w:rFonts w:ascii="Times New Roman" w:hAnsi="Times New Roman" w:cs="Times New Roman"/>
          <w:sz w:val="24"/>
          <w:szCs w:val="24"/>
        </w:rPr>
      </w:pPr>
      <w:r w:rsidRPr="009D671C">
        <w:rPr>
          <w:rFonts w:ascii="Times New Roman" w:hAnsi="Times New Roman" w:cs="Times New Roman"/>
          <w:noProof/>
          <w:sz w:val="24"/>
          <w:szCs w:val="24"/>
        </w:rPr>
        <w:t xml:space="preserve">Nga pikëpamja e investitorëve, </w:t>
      </w:r>
      <w:r w:rsidRPr="009D671C">
        <w:rPr>
          <w:rFonts w:ascii="Times New Roman" w:hAnsi="Times New Roman" w:cs="Times New Roman"/>
          <w:sz w:val="24"/>
          <w:szCs w:val="24"/>
        </w:rPr>
        <w:t xml:space="preserve">baza e investitorëve, vijon të jetë e përqëndruar në mbi 60% tek sektori bankar duke e bërë portofolin e borxhit të brendshëm të ndjeshëm ndaj risqeve sistemike që mund të paraqesë ky sektor. </w:t>
      </w:r>
      <w:r w:rsidR="003A178A">
        <w:rPr>
          <w:rFonts w:ascii="Times New Roman" w:hAnsi="Times New Roman" w:cs="Times New Roman"/>
          <w:sz w:val="24"/>
          <w:szCs w:val="24"/>
        </w:rPr>
        <w:t>Megjithtë, gjatë vitit 2022 pesha e borxhit të brendshëm që mbahet nga sektori</w:t>
      </w:r>
      <w:r w:rsidR="007F2F17">
        <w:rPr>
          <w:rFonts w:ascii="Times New Roman" w:hAnsi="Times New Roman" w:cs="Times New Roman"/>
          <w:sz w:val="24"/>
          <w:szCs w:val="24"/>
        </w:rPr>
        <w:t xml:space="preserve"> bankar është ulur nga 64.1% në 62.6%, ndërkohë që ka patur një rritje në kategoritë e institucioneve jo financiarë dhe individëve, gjë e cila kontribuon në një shpërndarje më të mirëdiversifikuar të investitorëve në portofolin e borxhit. </w:t>
      </w:r>
      <w:r w:rsidRPr="009D671C">
        <w:rPr>
          <w:rFonts w:ascii="Times New Roman" w:hAnsi="Times New Roman" w:cs="Times New Roman"/>
          <w:sz w:val="24"/>
          <w:szCs w:val="24"/>
        </w:rPr>
        <w:t>Struktura e tregut primar të titujve po konsolidohet nga strategjia e ndjekur duke filluar nga muaji korrik 2018, me anë të së cilës synohet zhvillimi i tregut për titujt referencë, si shtysë për zhvillimin e tregut sekondar në të ardhmen.</w:t>
      </w:r>
      <w:r w:rsidR="00086090" w:rsidRPr="009D671C">
        <w:rPr>
          <w:rFonts w:ascii="Times New Roman" w:hAnsi="Times New Roman" w:cs="Times New Roman"/>
          <w:sz w:val="24"/>
          <w:szCs w:val="24"/>
        </w:rPr>
        <w:t xml:space="preserve"> Gjatë vitit 2022, MFE </w:t>
      </w:r>
      <w:r w:rsidR="007F2F17">
        <w:rPr>
          <w:rFonts w:ascii="Times New Roman" w:hAnsi="Times New Roman" w:cs="Times New Roman"/>
          <w:sz w:val="24"/>
          <w:szCs w:val="24"/>
        </w:rPr>
        <w:t>zhvilloi</w:t>
      </w:r>
      <w:r w:rsidR="007F2F17" w:rsidRPr="009D671C">
        <w:rPr>
          <w:rFonts w:ascii="Times New Roman" w:hAnsi="Times New Roman" w:cs="Times New Roman"/>
          <w:sz w:val="24"/>
          <w:szCs w:val="24"/>
        </w:rPr>
        <w:t xml:space="preserve"> </w:t>
      </w:r>
      <w:r w:rsidR="00086090" w:rsidRPr="009D671C">
        <w:rPr>
          <w:rFonts w:ascii="Times New Roman" w:hAnsi="Times New Roman" w:cs="Times New Roman"/>
          <w:sz w:val="24"/>
          <w:szCs w:val="24"/>
        </w:rPr>
        <w:t>metodologjinë e vlerësimit të bankave pjesëmarrëse në programin e Zhvilluesve të Tregut, e cila pritet të nisë aplikimin gjatë vitit 2023 me frekuencë 6-mujore.</w:t>
      </w:r>
    </w:p>
    <w:p w14:paraId="7FEC2FFD" w14:textId="77777777" w:rsidR="00133ADD" w:rsidRDefault="00133ADD" w:rsidP="00F03864">
      <w:pPr>
        <w:tabs>
          <w:tab w:val="left" w:pos="8647"/>
        </w:tabs>
        <w:spacing w:line="276" w:lineRule="auto"/>
        <w:ind w:right="4"/>
        <w:jc w:val="both"/>
        <w:rPr>
          <w:rFonts w:ascii="Times New Roman" w:hAnsi="Times New Roman" w:cs="Times New Roman"/>
          <w:sz w:val="24"/>
          <w:szCs w:val="24"/>
        </w:rPr>
      </w:pPr>
    </w:p>
    <w:p w14:paraId="7264BA8F" w14:textId="77777777" w:rsidR="007F2F17" w:rsidRDefault="00F03864" w:rsidP="00F03864">
      <w:pPr>
        <w:tabs>
          <w:tab w:val="left" w:pos="8647"/>
        </w:tabs>
        <w:spacing w:line="276" w:lineRule="auto"/>
        <w:ind w:right="4"/>
        <w:jc w:val="both"/>
        <w:rPr>
          <w:rFonts w:ascii="Times New Roman" w:hAnsi="Times New Roman" w:cs="Times New Roman"/>
          <w:bCs/>
          <w:color w:val="000000"/>
          <w:sz w:val="24"/>
          <w:szCs w:val="24"/>
        </w:rPr>
      </w:pPr>
      <w:r w:rsidRPr="00F03864">
        <w:rPr>
          <w:rFonts w:ascii="Times New Roman" w:hAnsi="Times New Roman" w:cs="Times New Roman"/>
          <w:bCs/>
          <w:color w:val="000000"/>
          <w:sz w:val="24"/>
          <w:szCs w:val="24"/>
        </w:rPr>
        <w:t>Ministria e Financave dhe Ekonomisë, hartoi dhe publikoi për herë të parë në muajin Dhjetor 2022 një Plan Vjetor Huamarrje për vitin 2023</w:t>
      </w:r>
      <w:r w:rsidRPr="009D671C">
        <w:rPr>
          <w:rFonts w:ascii="Times New Roman" w:hAnsi="Times New Roman" w:cs="Times New Roman"/>
          <w:bCs/>
          <w:color w:val="000000"/>
          <w:sz w:val="24"/>
          <w:szCs w:val="24"/>
          <w:vertAlign w:val="superscript"/>
        </w:rPr>
        <w:footnoteReference w:id="2"/>
      </w:r>
      <w:r w:rsidRPr="00F03864">
        <w:rPr>
          <w:rFonts w:ascii="Times New Roman" w:hAnsi="Times New Roman" w:cs="Times New Roman"/>
          <w:bCs/>
          <w:color w:val="000000"/>
          <w:sz w:val="24"/>
          <w:szCs w:val="24"/>
        </w:rPr>
        <w:t>.  Plani Vjetor i Huamarrjes për vitin 2023, i përgatitur me asistencën e Bankës Botërore, synon të mbështesë aktivitetin e huamarrjes vjetore të Ministrisë së Financave dhe Ekonomisë, si dhe të rrisë transparencën kundrejt investitorëve.</w:t>
      </w:r>
      <w:r w:rsidR="00133ADD">
        <w:rPr>
          <w:rFonts w:ascii="Times New Roman" w:hAnsi="Times New Roman" w:cs="Times New Roman"/>
          <w:bCs/>
          <w:color w:val="000000"/>
          <w:sz w:val="24"/>
          <w:szCs w:val="24"/>
        </w:rPr>
        <w:t xml:space="preserve"> </w:t>
      </w:r>
    </w:p>
    <w:p w14:paraId="13C5BFB3" w14:textId="36A2DAE1" w:rsidR="00F03864" w:rsidRPr="00F03864" w:rsidRDefault="00F03864" w:rsidP="00F03864">
      <w:pPr>
        <w:tabs>
          <w:tab w:val="left" w:pos="8647"/>
        </w:tabs>
        <w:spacing w:line="276" w:lineRule="auto"/>
        <w:ind w:right="4"/>
        <w:jc w:val="both"/>
        <w:rPr>
          <w:rFonts w:ascii="Times New Roman" w:hAnsi="Times New Roman" w:cs="Times New Roman"/>
          <w:bCs/>
          <w:color w:val="000000"/>
          <w:sz w:val="24"/>
          <w:szCs w:val="24"/>
        </w:rPr>
      </w:pPr>
      <w:r w:rsidRPr="00F03864">
        <w:rPr>
          <w:rFonts w:ascii="Times New Roman" w:hAnsi="Times New Roman" w:cs="Times New Roman"/>
          <w:bCs/>
          <w:color w:val="000000"/>
          <w:sz w:val="24"/>
          <w:szCs w:val="24"/>
        </w:rPr>
        <w:t>Plani Vjetor i Huamarrjes jep në mënyrë të detajuar instrumentet që do të perdoren në tregun e brendshëm në vitin 2023, emetimet përkatëse sipas çdo instrumenti si edhe frekuencën e emetimit të çdo instrumenti. Bazuar në Planin Vjetor të Huamarrjes të vitit 2023, hartohen dhe kalendarët tremujorë të huamarrjes në tregun e brendshëm.</w:t>
      </w:r>
      <w:r w:rsidR="00133ADD">
        <w:rPr>
          <w:rFonts w:ascii="Times New Roman" w:hAnsi="Times New Roman" w:cs="Times New Roman"/>
          <w:bCs/>
          <w:color w:val="000000"/>
          <w:sz w:val="24"/>
          <w:szCs w:val="24"/>
        </w:rPr>
        <w:t xml:space="preserve"> Gjithsesi, theksohet</w:t>
      </w:r>
      <w:r w:rsidRPr="00F03864">
        <w:rPr>
          <w:rFonts w:ascii="Times New Roman" w:hAnsi="Times New Roman" w:cs="Times New Roman"/>
          <w:bCs/>
          <w:color w:val="000000"/>
          <w:sz w:val="24"/>
          <w:szCs w:val="24"/>
        </w:rPr>
        <w:t xml:space="preserve"> se duke konsideruar pasigurinë që viti 2023 paraqet, MFE rezervon të drejtën që të mund të ndryshojë frekuencën apo shumën e emetuar për instrument/muaj sipas kushteve të tregut</w:t>
      </w:r>
    </w:p>
    <w:p w14:paraId="3082E9FC" w14:textId="77777777" w:rsidR="00F03864" w:rsidRPr="009D671C" w:rsidRDefault="00F03864" w:rsidP="005F7575">
      <w:pPr>
        <w:spacing w:after="0" w:line="276" w:lineRule="auto"/>
        <w:ind w:right="-46"/>
        <w:jc w:val="both"/>
        <w:rPr>
          <w:rFonts w:ascii="Times New Roman" w:hAnsi="Times New Roman" w:cs="Times New Roman"/>
          <w:sz w:val="24"/>
          <w:szCs w:val="24"/>
        </w:rPr>
      </w:pPr>
    </w:p>
    <w:p w14:paraId="738E4E05" w14:textId="77777777" w:rsidR="00904748" w:rsidRPr="009D671C" w:rsidRDefault="00904748" w:rsidP="00AA474F">
      <w:pPr>
        <w:spacing w:after="0" w:line="276" w:lineRule="auto"/>
        <w:ind w:right="-46"/>
        <w:jc w:val="both"/>
        <w:rPr>
          <w:rFonts w:ascii="Times New Roman" w:hAnsi="Times New Roman" w:cs="Times New Roman"/>
          <w:sz w:val="24"/>
          <w:szCs w:val="24"/>
          <w:highlight w:val="yellow"/>
        </w:rPr>
      </w:pPr>
    </w:p>
    <w:p w14:paraId="030F0F3A" w14:textId="77777777" w:rsidR="00D13DEF" w:rsidRPr="00DB3C91" w:rsidRDefault="00D13DEF" w:rsidP="00556CC6">
      <w:pPr>
        <w:spacing w:after="0" w:line="276" w:lineRule="auto"/>
        <w:ind w:right="-46"/>
        <w:rPr>
          <w:rFonts w:ascii="Cambria" w:hAnsi="Cambria" w:cs="Times New Roman"/>
          <w:i/>
          <w:sz w:val="20"/>
          <w:szCs w:val="20"/>
          <w:highlight w:val="yellow"/>
          <w:lang w:val="it-IT"/>
        </w:rPr>
      </w:pPr>
      <w:bookmarkStart w:id="18" w:name="_Toc491861002"/>
      <w:bookmarkStart w:id="19" w:name="_Toc491954315"/>
    </w:p>
    <w:p w14:paraId="0F626A12" w14:textId="77777777" w:rsidR="00DA1DA3" w:rsidRPr="005F7575" w:rsidRDefault="00DA1DA3" w:rsidP="00FC2F2F">
      <w:pPr>
        <w:pStyle w:val="Heading2"/>
        <w:numPr>
          <w:ilvl w:val="1"/>
          <w:numId w:val="5"/>
        </w:numPr>
        <w:spacing w:before="0" w:line="276" w:lineRule="auto"/>
        <w:ind w:left="709" w:right="-46" w:hanging="709"/>
        <w:jc w:val="both"/>
        <w:rPr>
          <w:rFonts w:ascii="Cambria" w:hAnsi="Cambria"/>
        </w:rPr>
      </w:pPr>
      <w:bookmarkStart w:id="20" w:name="_Toc34645072"/>
      <w:r w:rsidRPr="005F7575">
        <w:rPr>
          <w:rFonts w:ascii="Cambria" w:hAnsi="Cambria"/>
        </w:rPr>
        <w:t>Ecuria e normave të interesit</w:t>
      </w:r>
      <w:bookmarkEnd w:id="18"/>
      <w:bookmarkEnd w:id="19"/>
      <w:bookmarkEnd w:id="20"/>
    </w:p>
    <w:p w14:paraId="4D8BE338" w14:textId="77777777" w:rsidR="00480D26" w:rsidRPr="005F7575" w:rsidRDefault="00480D26" w:rsidP="0003109A">
      <w:pPr>
        <w:spacing w:after="0" w:line="276" w:lineRule="auto"/>
        <w:ind w:right="-46"/>
        <w:jc w:val="both"/>
        <w:rPr>
          <w:rFonts w:ascii="Cambria" w:hAnsi="Cambria"/>
          <w:b/>
          <w:sz w:val="20"/>
          <w:szCs w:val="20"/>
        </w:rPr>
      </w:pPr>
    </w:p>
    <w:p w14:paraId="787F167D" w14:textId="7846D599" w:rsidR="005F7575" w:rsidRPr="005F7575" w:rsidRDefault="005F7575" w:rsidP="005F7575">
      <w:pPr>
        <w:spacing w:after="0" w:line="276" w:lineRule="auto"/>
        <w:ind w:right="-46"/>
        <w:jc w:val="both"/>
        <w:rPr>
          <w:rFonts w:ascii="Times New Roman" w:hAnsi="Times New Roman" w:cs="Times New Roman"/>
          <w:sz w:val="24"/>
          <w:szCs w:val="24"/>
        </w:rPr>
      </w:pPr>
      <w:r w:rsidRPr="005F7575">
        <w:rPr>
          <w:rFonts w:ascii="Times New Roman" w:hAnsi="Times New Roman" w:cs="Times New Roman"/>
          <w:sz w:val="24"/>
          <w:szCs w:val="24"/>
        </w:rPr>
        <w:t xml:space="preserve">Yield-et e letrave me vlerë të qeverisë kanë ndjekur një tendencë rritëse duke filluar nga muaji Mars 2022, rritje kjo e ndikuar nga rritja e normës bazë të interesit në tregun vendas si edhe nga pritshmëritë për rritje të mëtejshme të normave të interesit në përgjigje të inflacionit të rritur. Banka e Shqipërisë ka rritur </w:t>
      </w:r>
      <w:r w:rsidR="00F1768E" w:rsidRPr="00680C14">
        <w:rPr>
          <w:rFonts w:ascii="Times New Roman" w:hAnsi="Times New Roman" w:cs="Times New Roman"/>
          <w:sz w:val="24"/>
          <w:szCs w:val="24"/>
        </w:rPr>
        <w:t>5</w:t>
      </w:r>
      <w:r w:rsidRPr="005F7575">
        <w:rPr>
          <w:rFonts w:ascii="Times New Roman" w:hAnsi="Times New Roman" w:cs="Times New Roman"/>
          <w:sz w:val="24"/>
          <w:szCs w:val="24"/>
        </w:rPr>
        <w:t xml:space="preserve"> herë normën bazë të interesit gjatë vitit 2022 duke prekur nivelin prej </w:t>
      </w:r>
      <w:r w:rsidR="00F1768E">
        <w:rPr>
          <w:rFonts w:ascii="Times New Roman" w:hAnsi="Times New Roman" w:cs="Times New Roman"/>
          <w:sz w:val="24"/>
          <w:szCs w:val="24"/>
        </w:rPr>
        <w:t>2.75</w:t>
      </w:r>
      <w:r w:rsidR="00086090">
        <w:rPr>
          <w:rFonts w:ascii="Times New Roman" w:hAnsi="Times New Roman" w:cs="Times New Roman"/>
          <w:sz w:val="24"/>
          <w:szCs w:val="24"/>
        </w:rPr>
        <w:t>%</w:t>
      </w:r>
      <w:r w:rsidR="00F03864">
        <w:rPr>
          <w:rFonts w:ascii="Times New Roman" w:hAnsi="Times New Roman" w:cs="Times New Roman"/>
          <w:sz w:val="24"/>
          <w:szCs w:val="24"/>
        </w:rPr>
        <w:t xml:space="preserve"> në fund të vitit 2022</w:t>
      </w:r>
      <w:r w:rsidR="00086090">
        <w:rPr>
          <w:rFonts w:ascii="Times New Roman" w:hAnsi="Times New Roman" w:cs="Times New Roman"/>
          <w:sz w:val="24"/>
          <w:szCs w:val="24"/>
        </w:rPr>
        <w:t>.</w:t>
      </w:r>
      <w:r w:rsidRPr="005F7575">
        <w:rPr>
          <w:rFonts w:ascii="Times New Roman" w:hAnsi="Times New Roman" w:cs="Times New Roman"/>
          <w:sz w:val="24"/>
          <w:szCs w:val="24"/>
        </w:rPr>
        <w:t xml:space="preserve"> </w:t>
      </w:r>
    </w:p>
    <w:p w14:paraId="04486FA7" w14:textId="77777777" w:rsidR="005F7575" w:rsidRPr="005F7575" w:rsidRDefault="005F7575" w:rsidP="005F7575">
      <w:pPr>
        <w:spacing w:after="0" w:line="276" w:lineRule="auto"/>
        <w:ind w:right="-46"/>
        <w:jc w:val="both"/>
        <w:rPr>
          <w:rStyle w:val="q4iawc"/>
        </w:rPr>
      </w:pPr>
    </w:p>
    <w:p w14:paraId="3F63D6B4" w14:textId="34A04307" w:rsidR="002949AA" w:rsidRDefault="004A2218" w:rsidP="005F7575">
      <w:pPr>
        <w:spacing w:after="0" w:line="276" w:lineRule="auto"/>
        <w:ind w:right="-46"/>
        <w:jc w:val="both"/>
        <w:rPr>
          <w:rFonts w:ascii="Cambria" w:hAnsi="Cambria"/>
          <w:i/>
          <w:sz w:val="20"/>
          <w:szCs w:val="20"/>
        </w:rPr>
      </w:pPr>
      <w:r w:rsidRPr="005F7575">
        <w:rPr>
          <w:rFonts w:ascii="Cambria" w:hAnsi="Cambria"/>
          <w:b/>
          <w:sz w:val="20"/>
          <w:szCs w:val="20"/>
        </w:rPr>
        <w:t xml:space="preserve">Paraqitje Grafike </w:t>
      </w:r>
      <w:r w:rsidR="008D0C8F" w:rsidRPr="005F7575">
        <w:rPr>
          <w:rFonts w:ascii="Cambria" w:hAnsi="Cambria"/>
          <w:b/>
          <w:sz w:val="20"/>
          <w:szCs w:val="20"/>
        </w:rPr>
        <w:t>6.2</w:t>
      </w:r>
      <w:r w:rsidRPr="005F7575">
        <w:rPr>
          <w:rFonts w:ascii="Cambria" w:hAnsi="Cambria"/>
          <w:b/>
          <w:sz w:val="20"/>
          <w:szCs w:val="20"/>
        </w:rPr>
        <w:t xml:space="preserve">: </w:t>
      </w:r>
      <w:r w:rsidR="00057778" w:rsidRPr="005F7575">
        <w:rPr>
          <w:rFonts w:ascii="Cambria" w:hAnsi="Cambria"/>
          <w:i/>
          <w:sz w:val="20"/>
          <w:szCs w:val="20"/>
        </w:rPr>
        <w:t>Norma mesatare e ponde</w:t>
      </w:r>
      <w:r w:rsidR="00B94B12" w:rsidRPr="005F7575">
        <w:rPr>
          <w:rFonts w:ascii="Cambria" w:hAnsi="Cambria"/>
          <w:i/>
          <w:sz w:val="20"/>
          <w:szCs w:val="20"/>
        </w:rPr>
        <w:t>ruar e</w:t>
      </w:r>
      <w:r w:rsidR="00057778" w:rsidRPr="005F7575">
        <w:rPr>
          <w:rFonts w:ascii="Cambria" w:hAnsi="Cambria"/>
          <w:i/>
          <w:sz w:val="20"/>
          <w:szCs w:val="20"/>
        </w:rPr>
        <w:t xml:space="preserve"> titujve shtetërorë</w:t>
      </w:r>
      <w:r w:rsidR="00057778" w:rsidRPr="005F7575">
        <w:rPr>
          <w:rStyle w:val="FootnoteReference"/>
          <w:rFonts w:ascii="Cambria" w:hAnsi="Cambria"/>
          <w:i/>
          <w:sz w:val="20"/>
          <w:szCs w:val="20"/>
        </w:rPr>
        <w:footnoteReference w:id="3"/>
      </w:r>
      <w:r w:rsidR="00057778" w:rsidRPr="005F7575">
        <w:rPr>
          <w:rFonts w:ascii="Cambria" w:hAnsi="Cambria"/>
          <w:i/>
          <w:sz w:val="20"/>
          <w:szCs w:val="20"/>
        </w:rPr>
        <w:t xml:space="preserve"> </w:t>
      </w:r>
      <w:r w:rsidR="005F7575" w:rsidRPr="005F7575">
        <w:rPr>
          <w:rFonts w:ascii="Cambria" w:hAnsi="Cambria"/>
          <w:i/>
          <w:sz w:val="20"/>
          <w:szCs w:val="20"/>
        </w:rPr>
        <w:t>(2020</w:t>
      </w:r>
      <w:r w:rsidR="00A45E02" w:rsidRPr="005F7575">
        <w:rPr>
          <w:rFonts w:ascii="Cambria" w:hAnsi="Cambria"/>
          <w:i/>
          <w:sz w:val="20"/>
          <w:szCs w:val="20"/>
        </w:rPr>
        <w:t>-</w:t>
      </w:r>
      <w:r w:rsidR="00AA474F" w:rsidRPr="005F7575">
        <w:rPr>
          <w:rFonts w:ascii="Cambria" w:hAnsi="Cambria"/>
          <w:i/>
          <w:sz w:val="20"/>
          <w:szCs w:val="20"/>
        </w:rPr>
        <w:t>202</w:t>
      </w:r>
      <w:r w:rsidR="001B2739" w:rsidRPr="005F7575">
        <w:rPr>
          <w:rFonts w:ascii="Cambria" w:hAnsi="Cambria"/>
          <w:i/>
          <w:sz w:val="20"/>
          <w:szCs w:val="20"/>
        </w:rPr>
        <w:t>2</w:t>
      </w:r>
      <w:r w:rsidR="00A45E02" w:rsidRPr="005F7575">
        <w:rPr>
          <w:rFonts w:ascii="Cambria" w:hAnsi="Cambria"/>
          <w:i/>
          <w:sz w:val="20"/>
          <w:szCs w:val="20"/>
        </w:rPr>
        <w:t>)</w:t>
      </w:r>
    </w:p>
    <w:p w14:paraId="6F736A98" w14:textId="71D68434" w:rsidR="005A6396" w:rsidRDefault="00F03864" w:rsidP="005F7575">
      <w:pPr>
        <w:spacing w:after="0" w:line="276" w:lineRule="auto"/>
        <w:ind w:right="-46"/>
        <w:jc w:val="both"/>
        <w:rPr>
          <w:noProof/>
          <w:lang w:val="en-US"/>
        </w:rPr>
      </w:pPr>
      <w:r w:rsidRPr="00F03864">
        <w:rPr>
          <w:noProof/>
          <w:lang w:val="en-US"/>
        </w:rPr>
        <w:drawing>
          <wp:inline distT="0" distB="0" distL="0" distR="0" wp14:anchorId="4D9ABB6C" wp14:editId="1F2E05E2">
            <wp:extent cx="5829300" cy="2315183"/>
            <wp:effectExtent l="0" t="0" r="0" b="9525"/>
            <wp:docPr id="23" name="Chart 23">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1D12AD5" w14:textId="6E89F1B3" w:rsidR="00D13DEF" w:rsidRDefault="009D6626" w:rsidP="00086090">
      <w:pPr>
        <w:spacing w:after="0" w:line="276" w:lineRule="auto"/>
        <w:ind w:right="-46"/>
        <w:jc w:val="center"/>
        <w:rPr>
          <w:rFonts w:ascii="Cambria" w:hAnsi="Cambria"/>
          <w:i/>
          <w:sz w:val="20"/>
          <w:szCs w:val="20"/>
        </w:rPr>
      </w:pPr>
      <w:r w:rsidRPr="005F7575">
        <w:rPr>
          <w:rFonts w:ascii="Cambria" w:hAnsi="Cambria"/>
          <w:b/>
          <w:sz w:val="20"/>
          <w:szCs w:val="20"/>
        </w:rPr>
        <w:t xml:space="preserve">Burimi: </w:t>
      </w:r>
      <w:r w:rsidRPr="005F7575">
        <w:rPr>
          <w:rFonts w:ascii="Cambria" w:hAnsi="Cambria"/>
          <w:i/>
          <w:sz w:val="20"/>
          <w:szCs w:val="20"/>
        </w:rPr>
        <w:t>Ministria</w:t>
      </w:r>
      <w:r w:rsidR="00DE350A" w:rsidRPr="005F7575">
        <w:rPr>
          <w:rFonts w:ascii="Cambria" w:hAnsi="Cambria"/>
          <w:i/>
          <w:sz w:val="20"/>
          <w:szCs w:val="20"/>
        </w:rPr>
        <w:t xml:space="preserve"> e Financave dhe Ekonomisë (20</w:t>
      </w:r>
      <w:r w:rsidR="00A45E02" w:rsidRPr="005F7575">
        <w:rPr>
          <w:rFonts w:ascii="Cambria" w:hAnsi="Cambria"/>
          <w:i/>
          <w:sz w:val="20"/>
          <w:szCs w:val="20"/>
        </w:rPr>
        <w:t>2</w:t>
      </w:r>
      <w:r w:rsidR="00F03864">
        <w:rPr>
          <w:rFonts w:ascii="Cambria" w:hAnsi="Cambria"/>
          <w:i/>
          <w:sz w:val="20"/>
          <w:szCs w:val="20"/>
        </w:rPr>
        <w:t>3</w:t>
      </w:r>
      <w:r w:rsidRPr="005F7575">
        <w:rPr>
          <w:rFonts w:ascii="Cambria" w:hAnsi="Cambria"/>
          <w:i/>
          <w:sz w:val="20"/>
          <w:szCs w:val="20"/>
        </w:rPr>
        <w:t>)</w:t>
      </w:r>
    </w:p>
    <w:p w14:paraId="3D0A59DC" w14:textId="77777777" w:rsidR="00F03864" w:rsidRDefault="00F03864" w:rsidP="00086090">
      <w:pPr>
        <w:spacing w:after="0" w:line="276" w:lineRule="auto"/>
        <w:ind w:right="-46"/>
        <w:jc w:val="center"/>
        <w:rPr>
          <w:rFonts w:ascii="Cambria" w:hAnsi="Cambria"/>
          <w:i/>
          <w:sz w:val="20"/>
          <w:szCs w:val="20"/>
        </w:rPr>
      </w:pPr>
    </w:p>
    <w:p w14:paraId="5126343F" w14:textId="77777777" w:rsidR="00F03864" w:rsidRDefault="00F03864" w:rsidP="00086090">
      <w:pPr>
        <w:spacing w:after="0" w:line="276" w:lineRule="auto"/>
        <w:ind w:right="-46"/>
        <w:jc w:val="center"/>
        <w:rPr>
          <w:rFonts w:ascii="Cambria" w:hAnsi="Cambria"/>
          <w:i/>
          <w:sz w:val="20"/>
          <w:szCs w:val="20"/>
        </w:rPr>
      </w:pPr>
    </w:p>
    <w:p w14:paraId="41AF413C" w14:textId="77777777" w:rsidR="00F03864" w:rsidRDefault="00F03864" w:rsidP="00086090">
      <w:pPr>
        <w:spacing w:after="0" w:line="276" w:lineRule="auto"/>
        <w:ind w:right="-46"/>
        <w:jc w:val="center"/>
        <w:rPr>
          <w:rFonts w:ascii="Cambria" w:hAnsi="Cambria"/>
          <w:i/>
          <w:sz w:val="20"/>
          <w:szCs w:val="20"/>
        </w:rPr>
      </w:pPr>
    </w:p>
    <w:p w14:paraId="7B66674C" w14:textId="77777777" w:rsidR="00F03864" w:rsidRDefault="00F03864" w:rsidP="00086090">
      <w:pPr>
        <w:spacing w:after="0" w:line="276" w:lineRule="auto"/>
        <w:ind w:right="-46"/>
        <w:jc w:val="center"/>
        <w:rPr>
          <w:rFonts w:ascii="Cambria" w:hAnsi="Cambria"/>
          <w:i/>
          <w:sz w:val="20"/>
          <w:szCs w:val="20"/>
        </w:rPr>
      </w:pPr>
    </w:p>
    <w:p w14:paraId="459616B1" w14:textId="77777777" w:rsidR="00F03864" w:rsidRDefault="00F03864" w:rsidP="00086090">
      <w:pPr>
        <w:spacing w:after="0" w:line="276" w:lineRule="auto"/>
        <w:ind w:right="-46"/>
        <w:jc w:val="center"/>
        <w:rPr>
          <w:rFonts w:ascii="Cambria" w:hAnsi="Cambria"/>
          <w:i/>
          <w:sz w:val="20"/>
          <w:szCs w:val="20"/>
        </w:rPr>
      </w:pPr>
    </w:p>
    <w:p w14:paraId="29F15D18" w14:textId="77777777" w:rsidR="00F03864" w:rsidRDefault="00F03864" w:rsidP="00086090">
      <w:pPr>
        <w:spacing w:after="0" w:line="276" w:lineRule="auto"/>
        <w:ind w:right="-46"/>
        <w:jc w:val="center"/>
        <w:rPr>
          <w:rFonts w:ascii="Cambria" w:hAnsi="Cambria"/>
          <w:i/>
          <w:sz w:val="20"/>
          <w:szCs w:val="20"/>
        </w:rPr>
      </w:pPr>
    </w:p>
    <w:p w14:paraId="2B8D1E90" w14:textId="77777777" w:rsidR="00F03864" w:rsidRDefault="00F03864" w:rsidP="00086090">
      <w:pPr>
        <w:spacing w:after="0" w:line="276" w:lineRule="auto"/>
        <w:ind w:right="-46"/>
        <w:jc w:val="center"/>
        <w:rPr>
          <w:rFonts w:ascii="Cambria" w:hAnsi="Cambria"/>
          <w:i/>
          <w:sz w:val="20"/>
          <w:szCs w:val="20"/>
        </w:rPr>
      </w:pPr>
    </w:p>
    <w:p w14:paraId="5FDA40AB" w14:textId="77777777" w:rsidR="00F03864" w:rsidRDefault="00F03864" w:rsidP="00086090">
      <w:pPr>
        <w:spacing w:after="0" w:line="276" w:lineRule="auto"/>
        <w:ind w:right="-46"/>
        <w:jc w:val="center"/>
        <w:rPr>
          <w:rFonts w:ascii="Cambria" w:hAnsi="Cambria"/>
          <w:i/>
          <w:sz w:val="20"/>
          <w:szCs w:val="20"/>
        </w:rPr>
      </w:pPr>
    </w:p>
    <w:p w14:paraId="52EFCF77" w14:textId="77777777" w:rsidR="00F03864" w:rsidRDefault="00F03864" w:rsidP="00086090">
      <w:pPr>
        <w:spacing w:after="0" w:line="276" w:lineRule="auto"/>
        <w:ind w:right="-46"/>
        <w:jc w:val="center"/>
        <w:rPr>
          <w:rFonts w:ascii="Cambria" w:hAnsi="Cambria"/>
          <w:i/>
          <w:sz w:val="20"/>
          <w:szCs w:val="20"/>
        </w:rPr>
      </w:pPr>
    </w:p>
    <w:p w14:paraId="54F6DEEC" w14:textId="77777777" w:rsidR="00F03864" w:rsidRDefault="00F03864" w:rsidP="00086090">
      <w:pPr>
        <w:spacing w:after="0" w:line="276" w:lineRule="auto"/>
        <w:ind w:right="-46"/>
        <w:jc w:val="center"/>
        <w:rPr>
          <w:rFonts w:ascii="Cambria" w:hAnsi="Cambria"/>
          <w:i/>
          <w:sz w:val="20"/>
          <w:szCs w:val="20"/>
        </w:rPr>
      </w:pPr>
    </w:p>
    <w:p w14:paraId="1DD2E3A5" w14:textId="77777777" w:rsidR="00F03864" w:rsidRDefault="00F03864" w:rsidP="00086090">
      <w:pPr>
        <w:spacing w:after="0" w:line="276" w:lineRule="auto"/>
        <w:ind w:right="-46"/>
        <w:jc w:val="center"/>
        <w:rPr>
          <w:rFonts w:ascii="Cambria" w:hAnsi="Cambria"/>
          <w:i/>
          <w:sz w:val="20"/>
          <w:szCs w:val="20"/>
        </w:rPr>
      </w:pPr>
    </w:p>
    <w:p w14:paraId="3E73F799" w14:textId="77777777" w:rsidR="00F03864" w:rsidRDefault="00F03864" w:rsidP="00086090">
      <w:pPr>
        <w:spacing w:after="0" w:line="276" w:lineRule="auto"/>
        <w:ind w:right="-46"/>
        <w:jc w:val="center"/>
        <w:rPr>
          <w:rFonts w:ascii="Cambria" w:hAnsi="Cambria"/>
          <w:i/>
          <w:sz w:val="20"/>
          <w:szCs w:val="20"/>
        </w:rPr>
      </w:pPr>
    </w:p>
    <w:p w14:paraId="01EE8D71" w14:textId="77777777" w:rsidR="00F03864" w:rsidRDefault="00F03864" w:rsidP="00086090">
      <w:pPr>
        <w:spacing w:after="0" w:line="276" w:lineRule="auto"/>
        <w:ind w:right="-46"/>
        <w:jc w:val="center"/>
        <w:rPr>
          <w:rFonts w:ascii="Cambria" w:hAnsi="Cambria"/>
          <w:i/>
          <w:sz w:val="20"/>
          <w:szCs w:val="20"/>
        </w:rPr>
      </w:pPr>
    </w:p>
    <w:p w14:paraId="37B4C7E5" w14:textId="77777777" w:rsidR="00F03864" w:rsidRDefault="00F03864" w:rsidP="00086090">
      <w:pPr>
        <w:spacing w:after="0" w:line="276" w:lineRule="auto"/>
        <w:ind w:right="-46"/>
        <w:jc w:val="center"/>
        <w:rPr>
          <w:rFonts w:ascii="Cambria" w:hAnsi="Cambria"/>
          <w:i/>
          <w:sz w:val="20"/>
          <w:szCs w:val="20"/>
        </w:rPr>
      </w:pPr>
    </w:p>
    <w:p w14:paraId="2D657D9A" w14:textId="77777777" w:rsidR="00F03864" w:rsidRDefault="00F03864" w:rsidP="00086090">
      <w:pPr>
        <w:spacing w:after="0" w:line="276" w:lineRule="auto"/>
        <w:ind w:right="-46"/>
        <w:jc w:val="center"/>
        <w:rPr>
          <w:rFonts w:ascii="Cambria" w:hAnsi="Cambria"/>
          <w:i/>
          <w:sz w:val="20"/>
          <w:szCs w:val="20"/>
        </w:rPr>
      </w:pPr>
    </w:p>
    <w:p w14:paraId="29904C85" w14:textId="77777777" w:rsidR="00F03864" w:rsidRDefault="00F03864" w:rsidP="00086090">
      <w:pPr>
        <w:spacing w:after="0" w:line="276" w:lineRule="auto"/>
        <w:ind w:right="-46"/>
        <w:jc w:val="center"/>
        <w:rPr>
          <w:rFonts w:ascii="Cambria" w:hAnsi="Cambria"/>
          <w:i/>
          <w:sz w:val="20"/>
          <w:szCs w:val="20"/>
        </w:rPr>
      </w:pPr>
    </w:p>
    <w:p w14:paraId="1FD46069" w14:textId="77777777" w:rsidR="00F03864" w:rsidRDefault="00F03864" w:rsidP="00086090">
      <w:pPr>
        <w:spacing w:after="0" w:line="276" w:lineRule="auto"/>
        <w:ind w:right="-46"/>
        <w:jc w:val="center"/>
        <w:rPr>
          <w:rFonts w:ascii="Cambria" w:hAnsi="Cambria"/>
          <w:i/>
          <w:sz w:val="20"/>
          <w:szCs w:val="20"/>
        </w:rPr>
      </w:pPr>
    </w:p>
    <w:p w14:paraId="2295B9E9" w14:textId="77777777" w:rsidR="00F03864" w:rsidRDefault="00F03864" w:rsidP="00086090">
      <w:pPr>
        <w:spacing w:after="0" w:line="276" w:lineRule="auto"/>
        <w:ind w:right="-46"/>
        <w:jc w:val="center"/>
        <w:rPr>
          <w:rFonts w:ascii="Cambria" w:hAnsi="Cambria"/>
          <w:i/>
          <w:sz w:val="20"/>
          <w:szCs w:val="20"/>
        </w:rPr>
      </w:pPr>
    </w:p>
    <w:p w14:paraId="6509D750" w14:textId="77777777" w:rsidR="00F03864" w:rsidRPr="00086090" w:rsidRDefault="00F03864" w:rsidP="00086090">
      <w:pPr>
        <w:spacing w:after="0" w:line="276" w:lineRule="auto"/>
        <w:ind w:right="-46"/>
        <w:jc w:val="center"/>
        <w:rPr>
          <w:rFonts w:ascii="Cambria" w:hAnsi="Cambria"/>
          <w:i/>
          <w:sz w:val="20"/>
          <w:szCs w:val="20"/>
        </w:rPr>
      </w:pPr>
    </w:p>
    <w:p w14:paraId="0078259E" w14:textId="77777777" w:rsidR="009354F2" w:rsidRPr="00D713DD" w:rsidRDefault="009354F2" w:rsidP="009354F2">
      <w:pPr>
        <w:keepNext/>
        <w:keepLines/>
        <w:spacing w:after="0" w:line="360" w:lineRule="auto"/>
        <w:ind w:right="-45"/>
        <w:jc w:val="center"/>
        <w:outlineLvl w:val="0"/>
        <w:rPr>
          <w:rFonts w:ascii="Cambria" w:eastAsia="Times New Roman" w:hAnsi="Cambria" w:cstheme="majorBidi"/>
          <w:b/>
          <w:noProof/>
          <w:color w:val="C00000"/>
          <w:sz w:val="24"/>
          <w:szCs w:val="32"/>
        </w:rPr>
      </w:pPr>
      <w:bookmarkStart w:id="21" w:name="_Toc482629551"/>
      <w:bookmarkStart w:id="22" w:name="_Toc523237144"/>
      <w:bookmarkStart w:id="23" w:name="_Toc34645073"/>
      <w:r w:rsidRPr="00D713DD">
        <w:rPr>
          <w:rFonts w:ascii="Cambria" w:eastAsia="Times New Roman" w:hAnsi="Cambria" w:cstheme="majorBidi"/>
          <w:b/>
          <w:noProof/>
          <w:color w:val="C00000"/>
          <w:sz w:val="24"/>
          <w:szCs w:val="32"/>
        </w:rPr>
        <w:lastRenderedPageBreak/>
        <w:t>ANEKS</w:t>
      </w:r>
      <w:bookmarkEnd w:id="21"/>
      <w:r w:rsidRPr="00D713DD">
        <w:rPr>
          <w:rFonts w:ascii="Cambria" w:eastAsia="Times New Roman" w:hAnsi="Cambria" w:cstheme="majorBidi"/>
          <w:b/>
          <w:noProof/>
          <w:color w:val="C00000"/>
          <w:sz w:val="24"/>
          <w:szCs w:val="32"/>
        </w:rPr>
        <w:t>I I</w:t>
      </w:r>
      <w:bookmarkEnd w:id="22"/>
      <w:bookmarkEnd w:id="23"/>
    </w:p>
    <w:p w14:paraId="1C47D553" w14:textId="77777777" w:rsidR="009354F2" w:rsidRPr="00D713DD" w:rsidRDefault="009354F2" w:rsidP="009354F2">
      <w:pPr>
        <w:keepNext/>
        <w:keepLines/>
        <w:spacing w:after="0" w:line="360" w:lineRule="auto"/>
        <w:ind w:right="-45"/>
        <w:jc w:val="center"/>
        <w:outlineLvl w:val="0"/>
        <w:rPr>
          <w:rFonts w:ascii="Cambria" w:eastAsia="Times New Roman" w:hAnsi="Cambria" w:cstheme="majorBidi"/>
          <w:b/>
          <w:noProof/>
          <w:color w:val="C00000"/>
          <w:sz w:val="24"/>
          <w:szCs w:val="32"/>
        </w:rPr>
      </w:pPr>
      <w:r w:rsidRPr="00D713DD">
        <w:rPr>
          <w:rFonts w:ascii="Cambria" w:eastAsia="Times New Roman" w:hAnsi="Cambria" w:cstheme="majorBidi"/>
          <w:b/>
          <w:noProof/>
          <w:color w:val="C00000"/>
          <w:sz w:val="24"/>
          <w:szCs w:val="32"/>
        </w:rPr>
        <w:t xml:space="preserve"> </w:t>
      </w:r>
      <w:bookmarkStart w:id="24" w:name="_Toc523237145"/>
      <w:bookmarkStart w:id="25" w:name="_Toc9249214"/>
      <w:bookmarkStart w:id="26" w:name="_Toc34645074"/>
      <w:r w:rsidRPr="00D713DD">
        <w:rPr>
          <w:rFonts w:ascii="Cambria" w:eastAsia="Times New Roman" w:hAnsi="Cambria" w:cstheme="majorBidi"/>
          <w:b/>
          <w:noProof/>
          <w:color w:val="C00000"/>
          <w:sz w:val="24"/>
          <w:szCs w:val="32"/>
        </w:rPr>
        <w:t>AKRONIME DHE FJALOR SHPJEGUES</w:t>
      </w:r>
      <w:bookmarkEnd w:id="24"/>
      <w:bookmarkEnd w:id="25"/>
      <w:bookmarkEnd w:id="26"/>
    </w:p>
    <w:p w14:paraId="0ACF8A1A" w14:textId="77777777" w:rsidR="009354F2" w:rsidRPr="00D713DD" w:rsidRDefault="009354F2" w:rsidP="009354F2">
      <w:pPr>
        <w:keepNext/>
        <w:keepLines/>
        <w:spacing w:before="240" w:after="0"/>
        <w:ind w:right="-46"/>
        <w:jc w:val="center"/>
        <w:outlineLvl w:val="0"/>
        <w:rPr>
          <w:rFonts w:ascii="Cambria" w:eastAsia="Times New Roman" w:hAnsi="Cambria" w:cstheme="majorBidi"/>
          <w:b/>
          <w:noProof/>
          <w:color w:val="C00000"/>
          <w:sz w:val="28"/>
          <w:szCs w:val="32"/>
        </w:rPr>
      </w:pPr>
    </w:p>
    <w:p w14:paraId="56F1C838" w14:textId="77777777" w:rsidR="009354F2" w:rsidRPr="00D713DD" w:rsidRDefault="009354F2" w:rsidP="009354F2">
      <w:pPr>
        <w:ind w:right="-46"/>
        <w:rPr>
          <w:rFonts w:ascii="Cambria" w:eastAsia="Times New Roman" w:hAnsi="Cambria"/>
          <w:b/>
          <w:noProof/>
          <w:u w:val="single"/>
        </w:rPr>
      </w:pPr>
    </w:p>
    <w:p w14:paraId="149AFA74" w14:textId="77777777" w:rsidR="009354F2" w:rsidRPr="00D713DD" w:rsidRDefault="009354F2" w:rsidP="009354F2">
      <w:pPr>
        <w:ind w:right="-46"/>
        <w:rPr>
          <w:rFonts w:ascii="Cambria" w:eastAsia="Times New Roman" w:hAnsi="Cambria"/>
          <w:b/>
          <w:noProof/>
          <w:sz w:val="24"/>
        </w:rPr>
      </w:pPr>
      <w:r w:rsidRPr="00D713DD">
        <w:rPr>
          <w:rFonts w:ascii="Cambria" w:eastAsia="Times New Roman" w:hAnsi="Cambria"/>
          <w:b/>
          <w:noProof/>
          <w:sz w:val="24"/>
        </w:rPr>
        <w:t>AKRONIME</w:t>
      </w:r>
    </w:p>
    <w:p w14:paraId="1886F7BB" w14:textId="77777777" w:rsidR="009354F2" w:rsidRPr="00D713DD" w:rsidRDefault="009354F2" w:rsidP="009354F2">
      <w:pPr>
        <w:ind w:right="-46"/>
        <w:rPr>
          <w:rFonts w:ascii="Cambria" w:eastAsia="Times New Roman" w:hAnsi="Cambria"/>
          <w:b/>
          <w:noProof/>
          <w:sz w:val="24"/>
        </w:rPr>
      </w:pPr>
    </w:p>
    <w:p w14:paraId="0CDA6E45"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b/>
          <w:sz w:val="24"/>
          <w:szCs w:val="24"/>
        </w:rPr>
      </w:pPr>
      <w:r w:rsidRPr="00D713DD">
        <w:rPr>
          <w:rFonts w:ascii="Times New Roman" w:hAnsi="Times New Roman" w:cs="Times New Roman"/>
          <w:b/>
          <w:sz w:val="24"/>
          <w:szCs w:val="24"/>
        </w:rPr>
        <w:t xml:space="preserve">BSH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Banka e Shqipërisë</w:t>
      </w:r>
    </w:p>
    <w:p w14:paraId="32C4FC6C"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DMM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Ditët Mesatare në Maturim</w:t>
      </w:r>
    </w:p>
    <w:p w14:paraId="4A148D48" w14:textId="77777777" w:rsidR="009354F2" w:rsidRPr="00D713DD" w:rsidRDefault="009354F2" w:rsidP="009354F2">
      <w:pPr>
        <w:tabs>
          <w:tab w:val="left" w:pos="567"/>
        </w:tabs>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EUR</w:t>
      </w:r>
      <w:r w:rsidRPr="00D713DD">
        <w:rPr>
          <w:rFonts w:ascii="Times New Roman" w:hAnsi="Times New Roman" w:cs="Times New Roman"/>
          <w:sz w:val="24"/>
          <w:szCs w:val="24"/>
        </w:rPr>
        <w:t xml:space="preserve"> </w:t>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00B308B7" w:rsidRPr="00D713DD">
        <w:rPr>
          <w:rFonts w:ascii="Times New Roman" w:hAnsi="Times New Roman" w:cs="Times New Roman"/>
          <w:sz w:val="24"/>
          <w:szCs w:val="24"/>
        </w:rPr>
        <w:t>Monedha e Bashkimit Evropian</w:t>
      </w:r>
    </w:p>
    <w:p w14:paraId="117CD907"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JPY </w:t>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00B308B7" w:rsidRPr="00D713DD">
        <w:rPr>
          <w:rFonts w:ascii="Times New Roman" w:hAnsi="Times New Roman" w:cs="Times New Roman"/>
          <w:sz w:val="24"/>
          <w:szCs w:val="24"/>
        </w:rPr>
        <w:t>Monedha kombëtare e Japonisë</w:t>
      </w:r>
    </w:p>
    <w:p w14:paraId="7D9E9B29"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KMM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Koha Mesatare në Maturim</w:t>
      </w:r>
    </w:p>
    <w:p w14:paraId="48B367E2"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b/>
          <w:sz w:val="24"/>
          <w:szCs w:val="24"/>
        </w:rPr>
      </w:pPr>
      <w:r w:rsidRPr="00D713DD">
        <w:rPr>
          <w:rFonts w:ascii="Times New Roman" w:hAnsi="Times New Roman" w:cs="Times New Roman"/>
          <w:b/>
          <w:sz w:val="24"/>
          <w:szCs w:val="24"/>
        </w:rPr>
        <w:t xml:space="preserve">KMR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Koha Mesatare në Rifiksim</w:t>
      </w:r>
    </w:p>
    <w:p w14:paraId="25A529D6"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PBB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Produkti i Brendshëm Bruto</w:t>
      </w:r>
    </w:p>
    <w:p w14:paraId="4C42BD53"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PP                                          </w:t>
      </w:r>
      <w:r w:rsidRPr="00D713DD">
        <w:rPr>
          <w:rFonts w:ascii="Times New Roman" w:hAnsi="Times New Roman" w:cs="Times New Roman"/>
          <w:b/>
          <w:sz w:val="24"/>
          <w:szCs w:val="24"/>
        </w:rPr>
        <w:tab/>
      </w:r>
      <w:r w:rsidRPr="00D713DD">
        <w:rPr>
          <w:rFonts w:ascii="Times New Roman" w:hAnsi="Times New Roman" w:cs="Times New Roman"/>
          <w:b/>
          <w:sz w:val="24"/>
          <w:szCs w:val="24"/>
        </w:rPr>
        <w:tab/>
      </w:r>
      <w:r w:rsidRPr="00D713DD">
        <w:rPr>
          <w:rFonts w:ascii="Times New Roman" w:hAnsi="Times New Roman" w:cs="Times New Roman"/>
          <w:sz w:val="24"/>
          <w:szCs w:val="24"/>
        </w:rPr>
        <w:t>Pikë Përqindje</w:t>
      </w:r>
    </w:p>
    <w:p w14:paraId="3765F70A"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PB                       </w:t>
      </w:r>
      <w:r w:rsidR="00D4722B" w:rsidRPr="00D713DD">
        <w:rPr>
          <w:rFonts w:ascii="Times New Roman" w:hAnsi="Times New Roman" w:cs="Times New Roman"/>
          <w:b/>
          <w:sz w:val="24"/>
          <w:szCs w:val="24"/>
        </w:rPr>
        <w:t xml:space="preserve">                                </w:t>
      </w:r>
      <w:r w:rsidRPr="00D713DD">
        <w:rPr>
          <w:rFonts w:ascii="Times New Roman" w:hAnsi="Times New Roman" w:cs="Times New Roman"/>
          <w:sz w:val="24"/>
          <w:szCs w:val="24"/>
        </w:rPr>
        <w:t>Pikë Bazë</w:t>
      </w:r>
    </w:p>
    <w:p w14:paraId="5DC304F6" w14:textId="77777777" w:rsidR="009354F2" w:rsidRPr="00D713DD" w:rsidRDefault="009354F2" w:rsidP="009354F2">
      <w:pPr>
        <w:autoSpaceDE w:val="0"/>
        <w:autoSpaceDN w:val="0"/>
        <w:adjustRightInd w:val="0"/>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 xml:space="preserve">SAMB                                                </w:t>
      </w:r>
      <w:r w:rsidRPr="00D713DD">
        <w:rPr>
          <w:rFonts w:ascii="Times New Roman" w:hAnsi="Times New Roman" w:cs="Times New Roman"/>
          <w:sz w:val="24"/>
          <w:szCs w:val="24"/>
        </w:rPr>
        <w:t>Strategjia Afatmesme e Menaxhimit të Borxhit</w:t>
      </w:r>
    </w:p>
    <w:p w14:paraId="1DA23267" w14:textId="77777777" w:rsidR="009354F2" w:rsidRPr="00D713DD" w:rsidRDefault="009354F2" w:rsidP="009354F2">
      <w:pPr>
        <w:spacing w:after="0" w:line="360" w:lineRule="auto"/>
        <w:ind w:left="284" w:right="-46" w:hanging="284"/>
        <w:rPr>
          <w:rFonts w:ascii="Cambria" w:eastAsia="Times New Roman" w:hAnsi="Cambria"/>
          <w:b/>
          <w:noProof/>
          <w:color w:val="833C0B" w:themeColor="accent2" w:themeShade="80"/>
          <w:sz w:val="24"/>
          <w:szCs w:val="24"/>
        </w:rPr>
      </w:pPr>
      <w:r w:rsidRPr="00D713DD">
        <w:rPr>
          <w:rFonts w:ascii="Times New Roman" w:hAnsi="Times New Roman" w:cs="Times New Roman"/>
          <w:b/>
          <w:sz w:val="24"/>
          <w:szCs w:val="24"/>
        </w:rPr>
        <w:t>USD</w:t>
      </w:r>
      <w:r w:rsidRPr="00D713DD">
        <w:rPr>
          <w:rFonts w:ascii="Times New Roman" w:hAnsi="Times New Roman" w:cs="Times New Roman"/>
          <w:sz w:val="24"/>
          <w:szCs w:val="24"/>
        </w:rPr>
        <w:t xml:space="preserve"> </w:t>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Pr="00D713DD">
        <w:rPr>
          <w:rFonts w:ascii="Times New Roman" w:hAnsi="Times New Roman" w:cs="Times New Roman"/>
          <w:sz w:val="24"/>
          <w:szCs w:val="24"/>
        </w:rPr>
        <w:tab/>
      </w:r>
      <w:r w:rsidR="00B308B7" w:rsidRPr="00D713DD">
        <w:rPr>
          <w:rFonts w:ascii="Times New Roman" w:hAnsi="Times New Roman" w:cs="Times New Roman"/>
          <w:sz w:val="24"/>
          <w:szCs w:val="24"/>
        </w:rPr>
        <w:t>Monedha Shteteve të Bashkuara të Amerikës</w:t>
      </w:r>
    </w:p>
    <w:p w14:paraId="72745582" w14:textId="77777777" w:rsidR="009354F2" w:rsidRPr="00D713DD" w:rsidRDefault="004F7EA2" w:rsidP="009354F2">
      <w:pPr>
        <w:spacing w:after="0" w:line="360" w:lineRule="auto"/>
        <w:ind w:left="284" w:right="-46" w:hanging="284"/>
        <w:rPr>
          <w:rFonts w:ascii="Times New Roman" w:hAnsi="Times New Roman" w:cs="Times New Roman"/>
          <w:sz w:val="24"/>
          <w:szCs w:val="24"/>
        </w:rPr>
      </w:pPr>
      <w:r w:rsidRPr="00D713DD">
        <w:rPr>
          <w:rFonts w:ascii="Times New Roman" w:hAnsi="Times New Roman" w:cs="Times New Roman"/>
          <w:b/>
          <w:sz w:val="24"/>
          <w:szCs w:val="24"/>
        </w:rPr>
        <w:t>N</w:t>
      </w:r>
      <w:r w:rsidR="009354F2" w:rsidRPr="00D713DD">
        <w:rPr>
          <w:rFonts w:ascii="Times New Roman" w:hAnsi="Times New Roman" w:cs="Times New Roman"/>
          <w:b/>
          <w:sz w:val="24"/>
          <w:szCs w:val="24"/>
        </w:rPr>
        <w:t xml:space="preserve">MP </w:t>
      </w:r>
      <w:r w:rsidR="009354F2" w:rsidRPr="00D713DD">
        <w:rPr>
          <w:rFonts w:ascii="Times New Roman" w:hAnsi="Times New Roman" w:cs="Times New Roman"/>
          <w:sz w:val="24"/>
          <w:szCs w:val="24"/>
        </w:rPr>
        <w:tab/>
      </w:r>
      <w:r w:rsidR="009354F2" w:rsidRPr="00D713DD">
        <w:rPr>
          <w:rFonts w:ascii="Times New Roman" w:hAnsi="Times New Roman" w:cs="Times New Roman"/>
          <w:sz w:val="24"/>
          <w:szCs w:val="24"/>
        </w:rPr>
        <w:tab/>
      </w:r>
      <w:r w:rsidR="009354F2" w:rsidRPr="00D713DD">
        <w:rPr>
          <w:rFonts w:ascii="Times New Roman" w:hAnsi="Times New Roman" w:cs="Times New Roman"/>
          <w:sz w:val="24"/>
          <w:szCs w:val="24"/>
        </w:rPr>
        <w:tab/>
      </w:r>
      <w:r w:rsidR="009354F2" w:rsidRPr="00D713DD">
        <w:rPr>
          <w:rFonts w:ascii="Times New Roman" w:hAnsi="Times New Roman" w:cs="Times New Roman"/>
          <w:sz w:val="24"/>
          <w:szCs w:val="24"/>
        </w:rPr>
        <w:tab/>
      </w:r>
      <w:r w:rsidR="009354F2" w:rsidRPr="00D713DD">
        <w:rPr>
          <w:rFonts w:ascii="Times New Roman" w:hAnsi="Times New Roman" w:cs="Times New Roman"/>
          <w:sz w:val="24"/>
          <w:szCs w:val="24"/>
        </w:rPr>
        <w:tab/>
      </w:r>
      <w:r w:rsidRPr="00D713DD">
        <w:rPr>
          <w:rFonts w:ascii="Times New Roman" w:hAnsi="Times New Roman" w:cs="Times New Roman"/>
          <w:sz w:val="24"/>
          <w:szCs w:val="24"/>
        </w:rPr>
        <w:t>Norma</w:t>
      </w:r>
      <w:r w:rsidR="009354F2" w:rsidRPr="00D713DD">
        <w:rPr>
          <w:rFonts w:ascii="Times New Roman" w:hAnsi="Times New Roman" w:cs="Times New Roman"/>
          <w:sz w:val="24"/>
          <w:szCs w:val="24"/>
        </w:rPr>
        <w:t xml:space="preserve"> Mesatar</w:t>
      </w:r>
      <w:r w:rsidRPr="00D713DD">
        <w:rPr>
          <w:rFonts w:ascii="Times New Roman" w:hAnsi="Times New Roman" w:cs="Times New Roman"/>
          <w:sz w:val="24"/>
          <w:szCs w:val="24"/>
        </w:rPr>
        <w:t>e</w:t>
      </w:r>
      <w:r w:rsidR="009354F2" w:rsidRPr="00D713DD">
        <w:rPr>
          <w:rFonts w:ascii="Times New Roman" w:hAnsi="Times New Roman" w:cs="Times New Roman"/>
          <w:sz w:val="24"/>
          <w:szCs w:val="24"/>
        </w:rPr>
        <w:t xml:space="preserve"> </w:t>
      </w:r>
      <w:r w:rsidRPr="00D713DD">
        <w:rPr>
          <w:rFonts w:ascii="Times New Roman" w:hAnsi="Times New Roman" w:cs="Times New Roman"/>
          <w:sz w:val="24"/>
          <w:szCs w:val="24"/>
        </w:rPr>
        <w:t>e</w:t>
      </w:r>
      <w:r w:rsidR="009354F2" w:rsidRPr="00D713DD">
        <w:rPr>
          <w:rFonts w:ascii="Times New Roman" w:hAnsi="Times New Roman" w:cs="Times New Roman"/>
          <w:sz w:val="24"/>
          <w:szCs w:val="24"/>
        </w:rPr>
        <w:t xml:space="preserve"> Ponderuar</w:t>
      </w:r>
    </w:p>
    <w:p w14:paraId="74014FFD" w14:textId="77777777" w:rsidR="009354F2" w:rsidRPr="00D713DD" w:rsidRDefault="009354F2" w:rsidP="009354F2">
      <w:pPr>
        <w:ind w:right="-46"/>
        <w:rPr>
          <w:noProof/>
        </w:rPr>
      </w:pPr>
    </w:p>
    <w:p w14:paraId="71668F2C" w14:textId="77777777" w:rsidR="009354F2" w:rsidRPr="00D713DD" w:rsidRDefault="009354F2" w:rsidP="009354F2">
      <w:pPr>
        <w:ind w:right="-46"/>
        <w:rPr>
          <w:noProof/>
        </w:rPr>
      </w:pPr>
    </w:p>
    <w:p w14:paraId="068F8B57" w14:textId="77777777" w:rsidR="009354F2" w:rsidRPr="00D713DD" w:rsidRDefault="009354F2" w:rsidP="009354F2">
      <w:pPr>
        <w:ind w:right="-46"/>
        <w:rPr>
          <w:noProof/>
        </w:rPr>
      </w:pPr>
    </w:p>
    <w:p w14:paraId="4BE141ED" w14:textId="77777777" w:rsidR="006975DB" w:rsidRPr="00DB3C91" w:rsidRDefault="006975DB" w:rsidP="009354F2">
      <w:pPr>
        <w:ind w:right="-46"/>
        <w:rPr>
          <w:noProof/>
          <w:highlight w:val="yellow"/>
        </w:rPr>
      </w:pPr>
    </w:p>
    <w:p w14:paraId="1BAAF937" w14:textId="77777777" w:rsidR="006975DB" w:rsidRPr="00DB3C91" w:rsidRDefault="006975DB" w:rsidP="009354F2">
      <w:pPr>
        <w:ind w:right="-46"/>
        <w:rPr>
          <w:noProof/>
          <w:highlight w:val="yellow"/>
        </w:rPr>
      </w:pPr>
    </w:p>
    <w:p w14:paraId="09277DD6" w14:textId="77777777" w:rsidR="006975DB" w:rsidRPr="00DB3C91" w:rsidRDefault="006975DB" w:rsidP="009354F2">
      <w:pPr>
        <w:ind w:right="-46"/>
        <w:rPr>
          <w:noProof/>
          <w:highlight w:val="yellow"/>
        </w:rPr>
      </w:pPr>
    </w:p>
    <w:p w14:paraId="4B133FD3" w14:textId="77777777" w:rsidR="006975DB" w:rsidRPr="00DB3C91" w:rsidRDefault="006975DB" w:rsidP="009354F2">
      <w:pPr>
        <w:ind w:right="-46"/>
        <w:rPr>
          <w:noProof/>
          <w:highlight w:val="yellow"/>
        </w:rPr>
      </w:pPr>
    </w:p>
    <w:p w14:paraId="3C846DA0" w14:textId="77777777" w:rsidR="006975DB" w:rsidRPr="00DB3C91" w:rsidRDefault="006975DB" w:rsidP="009354F2">
      <w:pPr>
        <w:ind w:right="-46"/>
        <w:rPr>
          <w:noProof/>
          <w:highlight w:val="yellow"/>
        </w:rPr>
      </w:pPr>
    </w:p>
    <w:p w14:paraId="3F6E6326" w14:textId="77777777" w:rsidR="006975DB" w:rsidRPr="00DB3C91" w:rsidRDefault="006975DB" w:rsidP="009354F2">
      <w:pPr>
        <w:ind w:right="-46"/>
        <w:rPr>
          <w:noProof/>
          <w:highlight w:val="yellow"/>
        </w:rPr>
      </w:pPr>
    </w:p>
    <w:p w14:paraId="08DE8259" w14:textId="77777777" w:rsidR="006975DB" w:rsidRPr="00DB3C91" w:rsidRDefault="006975DB" w:rsidP="009354F2">
      <w:pPr>
        <w:ind w:right="-46"/>
        <w:rPr>
          <w:noProof/>
          <w:highlight w:val="yellow"/>
        </w:rPr>
      </w:pPr>
    </w:p>
    <w:p w14:paraId="5B3B4621" w14:textId="77777777" w:rsidR="006975DB" w:rsidRPr="00DB3C91" w:rsidRDefault="006975DB" w:rsidP="009354F2">
      <w:pPr>
        <w:ind w:right="-46"/>
        <w:rPr>
          <w:noProof/>
          <w:highlight w:val="yellow"/>
        </w:rPr>
      </w:pPr>
    </w:p>
    <w:p w14:paraId="0BFE49DE" w14:textId="77777777" w:rsidR="006975DB" w:rsidRPr="00DB3C91" w:rsidRDefault="006975DB" w:rsidP="009354F2">
      <w:pPr>
        <w:ind w:right="-46"/>
        <w:rPr>
          <w:noProof/>
          <w:highlight w:val="yellow"/>
        </w:rPr>
      </w:pPr>
    </w:p>
    <w:p w14:paraId="35647003" w14:textId="77777777" w:rsidR="004F7EA2" w:rsidRPr="00DB3C91" w:rsidRDefault="004F7EA2" w:rsidP="009354F2">
      <w:pPr>
        <w:ind w:right="-46"/>
        <w:rPr>
          <w:noProof/>
          <w:highlight w:val="yellow"/>
        </w:rPr>
      </w:pPr>
    </w:p>
    <w:p w14:paraId="6929FCED" w14:textId="77777777" w:rsidR="009354F2" w:rsidRPr="00DB3C91" w:rsidRDefault="009354F2" w:rsidP="009354F2">
      <w:pPr>
        <w:ind w:right="-46"/>
        <w:rPr>
          <w:rFonts w:ascii="Cambria" w:eastAsia="Times New Roman" w:hAnsi="Cambria"/>
          <w:b/>
          <w:noProof/>
          <w:highlight w:val="yellow"/>
          <w:u w:val="single"/>
        </w:rPr>
      </w:pPr>
    </w:p>
    <w:p w14:paraId="0AD90823" w14:textId="77777777" w:rsidR="009354F2" w:rsidRPr="00D713DD" w:rsidRDefault="009354F2" w:rsidP="00197C26">
      <w:pPr>
        <w:spacing w:after="0" w:line="276" w:lineRule="auto"/>
        <w:ind w:right="-46"/>
        <w:jc w:val="both"/>
        <w:rPr>
          <w:rFonts w:ascii="Cambria" w:eastAsia="Times New Roman" w:hAnsi="Cambria"/>
          <w:b/>
          <w:noProof/>
          <w:sz w:val="24"/>
        </w:rPr>
      </w:pPr>
      <w:r w:rsidRPr="00D713DD">
        <w:rPr>
          <w:rFonts w:ascii="Cambria" w:eastAsia="Times New Roman" w:hAnsi="Cambria"/>
          <w:b/>
          <w:noProof/>
          <w:sz w:val="24"/>
        </w:rPr>
        <w:lastRenderedPageBreak/>
        <w:t>FJALOR SHPJEGUES</w:t>
      </w:r>
    </w:p>
    <w:p w14:paraId="4319D9BE" w14:textId="77777777" w:rsidR="009354F2" w:rsidRPr="00D713DD" w:rsidRDefault="009354F2" w:rsidP="00197C26">
      <w:pPr>
        <w:spacing w:after="0" w:line="276" w:lineRule="auto"/>
        <w:ind w:right="-46"/>
        <w:jc w:val="both"/>
        <w:rPr>
          <w:rFonts w:ascii="Cambria" w:eastAsia="Times New Roman" w:hAnsi="Cambria"/>
          <w:b/>
          <w:noProof/>
          <w:color w:val="C00000"/>
          <w:sz w:val="24"/>
        </w:rPr>
      </w:pPr>
    </w:p>
    <w:p w14:paraId="51C31C3F" w14:textId="77777777" w:rsidR="009354F2" w:rsidRPr="00D713DD" w:rsidRDefault="009354F2" w:rsidP="00197C26">
      <w:pPr>
        <w:spacing w:after="0" w:line="276" w:lineRule="auto"/>
        <w:ind w:right="-46"/>
        <w:jc w:val="both"/>
        <w:rPr>
          <w:rFonts w:ascii="Cambria" w:eastAsia="Times New Roman" w:hAnsi="Cambria"/>
          <w:b/>
          <w:noProof/>
          <w:sz w:val="6"/>
          <w:szCs w:val="6"/>
        </w:rPr>
      </w:pPr>
    </w:p>
    <w:p w14:paraId="451F8F01" w14:textId="77777777" w:rsidR="009354F2" w:rsidRPr="00D713DD" w:rsidRDefault="009354F2" w:rsidP="00197C26">
      <w:pPr>
        <w:tabs>
          <w:tab w:val="left" w:pos="360"/>
        </w:tabs>
        <w:spacing w:after="0" w:line="240" w:lineRule="auto"/>
        <w:ind w:right="-46"/>
        <w:jc w:val="both"/>
        <w:rPr>
          <w:rFonts w:ascii="Times New Roman" w:eastAsia="Times New Roman" w:hAnsi="Times New Roman" w:cs="Times New Roman"/>
          <w:noProof/>
          <w:sz w:val="24"/>
          <w:szCs w:val="24"/>
        </w:rPr>
      </w:pPr>
      <w:r w:rsidRPr="00D713DD">
        <w:rPr>
          <w:rFonts w:ascii="Cambria" w:eastAsia="Times New Roman" w:hAnsi="Cambria" w:cs="Times New Roman"/>
          <w:b/>
          <w:noProof/>
          <w:sz w:val="24"/>
          <w:szCs w:val="24"/>
        </w:rPr>
        <w:t xml:space="preserve">Ankande shkëmbimi </w:t>
      </w:r>
      <w:r w:rsidRPr="00D713DD">
        <w:rPr>
          <w:rFonts w:ascii="Cambria" w:eastAsia="Times New Roman" w:hAnsi="Cambria" w:cs="Times New Roman"/>
          <w:b/>
          <w:i/>
          <w:noProof/>
          <w:sz w:val="24"/>
          <w:szCs w:val="24"/>
        </w:rPr>
        <w:t xml:space="preserve">(exchange auctions) </w:t>
      </w:r>
      <w:r w:rsidRPr="00D713DD">
        <w:rPr>
          <w:rFonts w:ascii="Times New Roman" w:eastAsia="Times New Roman" w:hAnsi="Times New Roman" w:cs="Times New Roman"/>
          <w:b/>
          <w:noProof/>
          <w:sz w:val="24"/>
          <w:szCs w:val="24"/>
        </w:rPr>
        <w:t>–</w:t>
      </w:r>
      <w:r w:rsidRPr="00D713DD">
        <w:rPr>
          <w:rFonts w:ascii="Times New Roman" w:eastAsia="Times New Roman" w:hAnsi="Times New Roman" w:cs="Times New Roman"/>
          <w:noProof/>
          <w:sz w:val="24"/>
          <w:szCs w:val="24"/>
        </w:rPr>
        <w:t xml:space="preserve"> Parablerja e titujve shtetërorë më përpara datës së maturimit, ndërkohë që transaksioni kryhet duke e paguar mbajtësin e titullit të parablerë me një titull të emetuar rishtazi.</w:t>
      </w:r>
    </w:p>
    <w:p w14:paraId="66BDE557"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sz w:val="20"/>
          <w:szCs w:val="20"/>
          <w:lang w:eastAsia="ko-KR"/>
        </w:rPr>
      </w:pPr>
    </w:p>
    <w:p w14:paraId="1E141B7D"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Borxh</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Referuar si “Borxh Total” ose “Totali i detyrimeve të borxhit”, konsiston në të gjitha detyrimet që janë instrumente borxhi.</w:t>
      </w:r>
    </w:p>
    <w:p w14:paraId="046F5EEF"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sz w:val="20"/>
          <w:szCs w:val="20"/>
          <w:lang w:eastAsia="ko-KR"/>
        </w:rPr>
      </w:pPr>
    </w:p>
    <w:p w14:paraId="3F99A61B"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Borxh afatgjatë</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Borxh me afat maturimi më të lartë se një vit.</w:t>
      </w:r>
    </w:p>
    <w:p w14:paraId="048624E4"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sz w:val="20"/>
          <w:szCs w:val="20"/>
          <w:lang w:eastAsia="ko-KR"/>
        </w:rPr>
      </w:pPr>
    </w:p>
    <w:p w14:paraId="2941F275"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Borxh i brendshëm</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Detyrimet e borxhit të rezidentëve të një vendi ndaj rezidentëve të po atij vendi.</w:t>
      </w:r>
    </w:p>
    <w:p w14:paraId="61FF2BBF"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0"/>
          <w:szCs w:val="20"/>
        </w:rPr>
      </w:pPr>
    </w:p>
    <w:p w14:paraId="153E35E6"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Borxh i jashtëm</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Detyrimet e borxhit të rezidentëve të një vendi ndaj jo rezidentëve.</w:t>
      </w:r>
    </w:p>
    <w:p w14:paraId="0EA68788"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0"/>
          <w:szCs w:val="20"/>
        </w:rPr>
      </w:pPr>
    </w:p>
    <w:p w14:paraId="25AA311E"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Borxhi publik i garantuar</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Detyrimet e borxhit të sektorit publik dhe privat, shërbimi i të cilit është i garantuar me marrëveshje nga njësitë e sektorit publik.</w:t>
      </w:r>
    </w:p>
    <w:p w14:paraId="0D2B1508"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sz w:val="20"/>
          <w:szCs w:val="20"/>
          <w:lang w:eastAsia="ko-KR"/>
        </w:rPr>
      </w:pPr>
    </w:p>
    <w:p w14:paraId="48D2922C"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Buyback</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Është forma e ndërsjellë e emetimit të titujve shtetërorë, e cila mundëson maturimin e parakohëshëm të një titull shtetëror.</w:t>
      </w:r>
    </w:p>
    <w:p w14:paraId="513E79A6"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64CDC313"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Disbursim</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Transaksioni i vënies në dispozicion të burimeve financiare.</w:t>
      </w:r>
    </w:p>
    <w:p w14:paraId="44C18DB6"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0"/>
          <w:szCs w:val="20"/>
        </w:rPr>
      </w:pPr>
    </w:p>
    <w:p w14:paraId="506668D7"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Eurobond</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Një obligacion (</w:t>
      </w:r>
      <w:r w:rsidRPr="00D713DD">
        <w:rPr>
          <w:rFonts w:ascii="Times New Roman" w:eastAsia="Batang" w:hAnsi="Times New Roman" w:cs="Times New Roman"/>
          <w:i/>
          <w:noProof/>
          <w:color w:val="000000"/>
          <w:sz w:val="24"/>
          <w:szCs w:val="24"/>
        </w:rPr>
        <w:t>titull financiar</w:t>
      </w:r>
      <w:r w:rsidRPr="00D713DD">
        <w:rPr>
          <w:rFonts w:ascii="Times New Roman" w:eastAsia="Batang" w:hAnsi="Times New Roman" w:cs="Times New Roman"/>
          <w:noProof/>
          <w:color w:val="000000"/>
          <w:sz w:val="24"/>
          <w:szCs w:val="24"/>
        </w:rPr>
        <w:t>) me afat maturimi më shumë se një vit i emetuar dhe tregtuar në tregjet ndërkombëtare financiare, jashtë kufijve të vendit që e emeton atë.</w:t>
      </w:r>
    </w:p>
    <w:p w14:paraId="03D0E54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color w:val="800000"/>
          <w:sz w:val="20"/>
          <w:szCs w:val="20"/>
          <w:lang w:eastAsia="ko-KR"/>
        </w:rPr>
      </w:pPr>
    </w:p>
    <w:p w14:paraId="7FF7F70E" w14:textId="77777777" w:rsidR="009354F2" w:rsidRPr="00D713DD" w:rsidRDefault="009354F2" w:rsidP="00197C26">
      <w:pPr>
        <w:tabs>
          <w:tab w:val="left" w:pos="360"/>
        </w:tabs>
        <w:spacing w:after="0" w:line="240" w:lineRule="auto"/>
        <w:ind w:right="-46"/>
        <w:jc w:val="both"/>
        <w:rPr>
          <w:rFonts w:ascii="Times New Roman" w:eastAsia="Batang" w:hAnsi="Times New Roman" w:cs="Times New Roman"/>
          <w:noProof/>
          <w:sz w:val="24"/>
          <w:szCs w:val="24"/>
        </w:rPr>
      </w:pPr>
      <w:r w:rsidRPr="00D713DD">
        <w:rPr>
          <w:rFonts w:ascii="Cambria" w:eastAsia="Times New Roman" w:hAnsi="Cambria" w:cs="Times New Roman"/>
          <w:b/>
          <w:noProof/>
          <w:sz w:val="24"/>
          <w:szCs w:val="24"/>
        </w:rPr>
        <w:t xml:space="preserve">Kreditor dypalësh </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noProof/>
          <w:sz w:val="24"/>
          <w:szCs w:val="24"/>
        </w:rPr>
        <w:t>Tipi i kreditorëve si qeveritë dhe agjencitë e tyre.</w:t>
      </w:r>
    </w:p>
    <w:p w14:paraId="66CDCB5F" w14:textId="77777777" w:rsidR="009354F2" w:rsidRPr="00D713DD" w:rsidRDefault="009354F2" w:rsidP="00197C26">
      <w:pPr>
        <w:tabs>
          <w:tab w:val="left" w:pos="360"/>
        </w:tabs>
        <w:spacing w:after="0" w:line="240" w:lineRule="auto"/>
        <w:ind w:right="-46"/>
        <w:jc w:val="both"/>
        <w:rPr>
          <w:rFonts w:ascii="Times New Roman" w:eastAsia="Batang" w:hAnsi="Times New Roman" w:cs="Times New Roman"/>
          <w:noProof/>
          <w:sz w:val="20"/>
          <w:szCs w:val="20"/>
        </w:rPr>
      </w:pPr>
    </w:p>
    <w:p w14:paraId="7FFFDBF1" w14:textId="77777777" w:rsidR="009354F2" w:rsidRPr="00D713DD" w:rsidRDefault="009354F2" w:rsidP="00197C26">
      <w:pPr>
        <w:spacing w:after="0" w:line="23" w:lineRule="atLeast"/>
        <w:ind w:right="-46"/>
        <w:jc w:val="both"/>
        <w:rPr>
          <w:rFonts w:ascii="Times New Roman" w:eastAsia="Batang" w:hAnsi="Times New Roman" w:cs="Times New Roman"/>
          <w:noProof/>
          <w:color w:val="000000"/>
          <w:sz w:val="24"/>
          <w:szCs w:val="24"/>
        </w:rPr>
      </w:pPr>
      <w:r w:rsidRPr="00D713DD">
        <w:rPr>
          <w:rFonts w:ascii="Cambria" w:eastAsia="Batang" w:hAnsi="Cambria" w:cs="Times New Roman"/>
          <w:b/>
          <w:noProof/>
          <w:color w:val="000000"/>
          <w:sz w:val="24"/>
          <w:szCs w:val="24"/>
        </w:rPr>
        <w:t>Kredi koncesionale</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color w:val="000000"/>
          <w:sz w:val="24"/>
          <w:szCs w:val="24"/>
        </w:rPr>
        <w:t>Kredi me terma më të favorshme se ato të tregut.</w:t>
      </w:r>
    </w:p>
    <w:p w14:paraId="15A5A3FD" w14:textId="77777777" w:rsidR="009354F2" w:rsidRPr="00D713DD" w:rsidRDefault="009354F2" w:rsidP="00197C26">
      <w:pPr>
        <w:tabs>
          <w:tab w:val="left" w:pos="360"/>
        </w:tabs>
        <w:spacing w:after="0" w:line="240" w:lineRule="auto"/>
        <w:ind w:right="-46"/>
        <w:jc w:val="both"/>
        <w:rPr>
          <w:rFonts w:ascii="Times New Roman" w:eastAsia="Batang" w:hAnsi="Times New Roman" w:cs="Times New Roman"/>
          <w:noProof/>
          <w:sz w:val="20"/>
          <w:szCs w:val="20"/>
        </w:rPr>
      </w:pPr>
    </w:p>
    <w:p w14:paraId="0E90E912" w14:textId="77777777" w:rsidR="009354F2" w:rsidRPr="00D713DD" w:rsidRDefault="009354F2" w:rsidP="00197C26">
      <w:pPr>
        <w:tabs>
          <w:tab w:val="left" w:pos="360"/>
        </w:tabs>
        <w:spacing w:after="0" w:line="240" w:lineRule="auto"/>
        <w:ind w:right="-46"/>
        <w:jc w:val="both"/>
        <w:rPr>
          <w:rFonts w:ascii="Times New Roman" w:eastAsia="Times New Roman" w:hAnsi="Times New Roman" w:cs="Times New Roman"/>
          <w:noProof/>
          <w:sz w:val="24"/>
          <w:szCs w:val="24"/>
        </w:rPr>
      </w:pPr>
      <w:r w:rsidRPr="00D713DD">
        <w:rPr>
          <w:rFonts w:ascii="Cambria" w:eastAsia="Times New Roman" w:hAnsi="Cambria" w:cs="Times New Roman"/>
          <w:b/>
          <w:noProof/>
          <w:sz w:val="24"/>
          <w:szCs w:val="24"/>
        </w:rPr>
        <w:t>Kreditor shumëpalësh</w:t>
      </w:r>
      <w:r w:rsidRPr="00D713DD">
        <w:rPr>
          <w:rFonts w:ascii="Times New Roman" w:eastAsia="Times New Roman" w:hAnsi="Times New Roman" w:cs="Times New Roman"/>
          <w:b/>
          <w:noProof/>
          <w:sz w:val="24"/>
          <w:szCs w:val="24"/>
        </w:rPr>
        <w:t xml:space="preserve"> –</w:t>
      </w:r>
      <w:r w:rsidRPr="00D713DD">
        <w:rPr>
          <w:rFonts w:ascii="Times New Roman" w:eastAsia="Times New Roman" w:hAnsi="Times New Roman" w:cs="Times New Roman"/>
          <w:noProof/>
          <w:sz w:val="24"/>
          <w:szCs w:val="24"/>
        </w:rPr>
        <w:t xml:space="preserve"> Tipi i kreditorëve që përfshinë institucionet financiare si Banka Botërore, FMN, etj..</w:t>
      </w:r>
    </w:p>
    <w:p w14:paraId="684A07F1"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color w:val="800000"/>
          <w:sz w:val="20"/>
          <w:szCs w:val="20"/>
          <w:lang w:eastAsia="ko-KR"/>
        </w:rPr>
      </w:pPr>
    </w:p>
    <w:p w14:paraId="7B1F8F6D" w14:textId="77777777" w:rsidR="009354F2" w:rsidRPr="00D713DD" w:rsidRDefault="009354F2" w:rsidP="00197C26">
      <w:pPr>
        <w:tabs>
          <w:tab w:val="left" w:pos="9498"/>
        </w:tabs>
        <w:autoSpaceDE w:val="0"/>
        <w:autoSpaceDN w:val="0"/>
        <w:adjustRightInd w:val="0"/>
        <w:spacing w:after="0" w:line="23" w:lineRule="atLeast"/>
        <w:ind w:right="-46"/>
        <w:jc w:val="both"/>
        <w:rPr>
          <w:rFonts w:ascii="Times New Roman" w:eastAsia="Batang" w:hAnsi="Times New Roman" w:cs="Times New Roman"/>
          <w:noProof/>
          <w:sz w:val="24"/>
          <w:szCs w:val="24"/>
        </w:rPr>
      </w:pPr>
      <w:r w:rsidRPr="00D713DD">
        <w:rPr>
          <w:rFonts w:ascii="Cambria" w:eastAsia="Batang" w:hAnsi="Cambria" w:cs="Times New Roman"/>
          <w:b/>
          <w:noProof/>
          <w:sz w:val="24"/>
          <w:szCs w:val="24"/>
        </w:rPr>
        <w:t>Kreditorë privatë</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rPr>
        <w:t>Kreditorët që nuk janë as qeveri dhe as agjenci të sektorit publik. Këto përfshijnë mbajtësit privatë të titujve shtetërorë, bankat private dhe institucionet e tjera financiare.</w:t>
      </w:r>
    </w:p>
    <w:p w14:paraId="04CE3180" w14:textId="77777777" w:rsidR="009354F2" w:rsidRPr="00D713DD" w:rsidRDefault="009354F2" w:rsidP="00197C26">
      <w:pPr>
        <w:tabs>
          <w:tab w:val="left" w:pos="9498"/>
        </w:tabs>
        <w:autoSpaceDE w:val="0"/>
        <w:autoSpaceDN w:val="0"/>
        <w:adjustRightInd w:val="0"/>
        <w:spacing w:after="0" w:line="23" w:lineRule="atLeast"/>
        <w:ind w:right="-46"/>
        <w:jc w:val="both"/>
        <w:rPr>
          <w:rFonts w:ascii="Times New Roman" w:eastAsia="Batang" w:hAnsi="Times New Roman" w:cs="Times New Roman"/>
          <w:noProof/>
          <w:sz w:val="20"/>
          <w:szCs w:val="20"/>
        </w:rPr>
      </w:pPr>
    </w:p>
    <w:p w14:paraId="754DBA5D"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4"/>
          <w:szCs w:val="24"/>
          <w:lang w:eastAsia="ko-KR"/>
        </w:rPr>
      </w:pPr>
      <w:r w:rsidRPr="00D713DD">
        <w:rPr>
          <w:rFonts w:ascii="Cambria" w:eastAsia="Batang" w:hAnsi="Cambria" w:cs="Times New Roman"/>
          <w:b/>
          <w:noProof/>
          <w:sz w:val="24"/>
          <w:szCs w:val="24"/>
          <w:lang w:eastAsia="ko-KR"/>
        </w:rPr>
        <w:t>KMM</w:t>
      </w:r>
      <w:r w:rsidRPr="00D713DD">
        <w:rPr>
          <w:rFonts w:ascii="Times New Roman" w:eastAsia="Batang" w:hAnsi="Times New Roman" w:cs="Times New Roman"/>
          <w:b/>
          <w:i/>
          <w:noProof/>
          <w:sz w:val="24"/>
          <w:szCs w:val="24"/>
          <w:lang w:eastAsia="ko-KR"/>
        </w:rPr>
        <w:t xml:space="preserve"> </w:t>
      </w:r>
      <w:r w:rsidRPr="00D713DD">
        <w:rPr>
          <w:rFonts w:ascii="Times New Roman" w:eastAsia="Batang" w:hAnsi="Times New Roman" w:cs="Times New Roman"/>
          <w:b/>
          <w:noProof/>
          <w:color w:val="000000"/>
          <w:sz w:val="24"/>
          <w:szCs w:val="24"/>
          <w:lang w:eastAsia="ko-KR"/>
        </w:rPr>
        <w:t>–</w:t>
      </w:r>
      <w:r w:rsidRPr="00D713DD">
        <w:rPr>
          <w:rFonts w:ascii="Times New Roman" w:eastAsia="Batang" w:hAnsi="Times New Roman" w:cs="Times New Roman"/>
          <w:noProof/>
          <w:color w:val="000000"/>
          <w:sz w:val="24"/>
          <w:szCs w:val="24"/>
          <w:lang w:eastAsia="ko-KR"/>
        </w:rPr>
        <w:t xml:space="preserve"> Tregues i riskut të ri-financimit për borxhin. KMM është periudha mesatare e shprehur në ditë ose në vite, që i duhet portofolit të borxhit për t’u maturuar. Sa më larg në kohë të jetë e projektuar data e maturimit të një instrumenti, aq më i ulët është risku i ri-financimit dhe aq më e lartë është vlera e këtij treguesi. KMM për instrumentet financiarë të borxhit përllogaritet sipas formulës së mëposhtme:</w:t>
      </w:r>
    </w:p>
    <w:p w14:paraId="41F36AD6"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4"/>
          <w:szCs w:val="24"/>
          <w:lang w:eastAsia="ko-KR"/>
        </w:rPr>
      </w:pPr>
    </w:p>
    <w:p w14:paraId="325660B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4"/>
          <w:szCs w:val="24"/>
          <w:u w:val="single"/>
          <w:lang w:eastAsia="ko-KR"/>
        </w:rPr>
      </w:pPr>
      <m:oMathPara>
        <m:oMathParaPr>
          <m:jc m:val="left"/>
        </m:oMathParaPr>
        <m:oMath>
          <m:r>
            <m:rPr>
              <m:sty m:val="p"/>
            </m:rPr>
            <w:rPr>
              <w:rFonts w:ascii="Cambria Math" w:eastAsia="Batang" w:hAnsi="Cambria Math" w:cs="Cambria Math"/>
              <w:noProof/>
              <w:color w:val="000000"/>
              <w:sz w:val="24"/>
              <w:szCs w:val="24"/>
              <w:lang w:eastAsia="ko-KR"/>
            </w:rPr>
            <m:t>KMM=</m:t>
          </m:r>
          <m:f>
            <m:fPr>
              <m:ctrlPr>
                <w:rPr>
                  <w:rFonts w:ascii="Cambria Math" w:eastAsia="Batang" w:hAnsi="Cambria Math" w:cs="Times New Roman"/>
                  <w:noProof/>
                  <w:color w:val="000000"/>
                  <w:sz w:val="24"/>
                  <w:szCs w:val="24"/>
                  <w:lang w:eastAsia="ko-KR"/>
                </w:rPr>
              </m:ctrlPr>
            </m:fPr>
            <m:num>
              <m:r>
                <m:rPr>
                  <m:sty m:val="p"/>
                </m:rPr>
                <w:rPr>
                  <w:rFonts w:ascii="Cambria Math" w:eastAsia="Batang" w:hAnsi="Cambria Math" w:cs="Times New Roman"/>
                  <w:noProof/>
                  <w:color w:val="000000"/>
                  <w:sz w:val="24"/>
                  <w:szCs w:val="24"/>
                  <w:lang w:eastAsia="ko-KR"/>
                </w:rPr>
                <m:t xml:space="preserve">  </m:t>
              </m:r>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t∈T</m:t>
                  </m:r>
                </m:sub>
                <m:sup/>
                <m:e>
                  <m:r>
                    <m:rPr>
                      <m:sty m:val="p"/>
                    </m:rPr>
                    <w:rPr>
                      <w:rFonts w:ascii="Cambria Math" w:eastAsia="Batang" w:hAnsi="Cambria Math" w:cs="Cambria Math"/>
                      <w:noProof/>
                      <w:color w:val="000000"/>
                      <w:sz w:val="24"/>
                      <w:szCs w:val="24"/>
                      <w:lang w:eastAsia="ko-KR"/>
                    </w:rPr>
                    <m:t xml:space="preserve"> </m:t>
                  </m:r>
                </m:e>
              </m:nary>
              <m:r>
                <w:rPr>
                  <w:rFonts w:ascii="Cambria Math" w:eastAsia="Batang" w:hAnsi="Cambria Math" w:cs="Cambria Math"/>
                  <w:noProof/>
                  <w:color w:val="000000"/>
                  <w:sz w:val="24"/>
                  <w:szCs w:val="24"/>
                  <w:lang w:eastAsia="ko-KR"/>
                </w:rPr>
                <m:t>t Nt</m:t>
              </m:r>
            </m:num>
            <m:den>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t∈T</m:t>
                  </m:r>
                </m:sub>
                <m:sup/>
                <m:e>
                  <m:r>
                    <m:rPr>
                      <m:sty m:val="p"/>
                    </m:rPr>
                    <w:rPr>
                      <w:rFonts w:ascii="Cambria Math" w:eastAsia="Batang" w:hAnsi="Cambria Math" w:cs="Cambria Math"/>
                      <w:noProof/>
                      <w:color w:val="000000"/>
                      <w:sz w:val="24"/>
                      <w:szCs w:val="24"/>
                      <w:lang w:eastAsia="ko-KR"/>
                    </w:rPr>
                    <m:t xml:space="preserve"> </m:t>
                  </m:r>
                </m:e>
              </m:nary>
              <m:r>
                <w:rPr>
                  <w:rFonts w:ascii="Cambria Math" w:eastAsia="Batang" w:hAnsi="Cambria Math" w:cs="Cambria Math"/>
                  <w:noProof/>
                  <w:color w:val="000000"/>
                  <w:sz w:val="24"/>
                  <w:szCs w:val="24"/>
                  <w:lang w:eastAsia="ko-KR"/>
                </w:rPr>
                <m:t>Nt</m:t>
              </m:r>
            </m:den>
          </m:f>
        </m:oMath>
      </m:oMathPara>
    </w:p>
    <w:p w14:paraId="36C8550C"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0"/>
          <w:szCs w:val="20"/>
          <w:lang w:eastAsia="ko-KR"/>
        </w:rPr>
      </w:pPr>
    </w:p>
    <w:p w14:paraId="3E7372AB"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Times New Roman" w:eastAsia="Batang" w:hAnsi="Times New Roman" w:cs="Times New Roman"/>
          <w:noProof/>
          <w:sz w:val="24"/>
          <w:szCs w:val="24"/>
          <w:lang w:eastAsia="ko-KR"/>
        </w:rPr>
        <w:t>Nga ku:</w:t>
      </w:r>
    </w:p>
    <w:p w14:paraId="6E02E4A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000A04E1"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lang w:eastAsia="ko-KR"/>
        </w:rPr>
      </w:pPr>
      <w:r w:rsidRPr="00D713DD">
        <w:rPr>
          <w:rFonts w:ascii="Times New Roman" w:eastAsia="Batang" w:hAnsi="Times New Roman" w:cs="Times New Roman"/>
          <w:i/>
          <w:noProof/>
          <w:lang w:eastAsia="ko-KR"/>
        </w:rPr>
        <w:t xml:space="preserve">t – </w:t>
      </w:r>
      <w:r w:rsidRPr="00D713DD">
        <w:rPr>
          <w:rFonts w:ascii="Times New Roman" w:eastAsia="Batang" w:hAnsi="Times New Roman" w:cs="Times New Roman"/>
          <w:noProof/>
          <w:lang w:eastAsia="ko-KR"/>
        </w:rPr>
        <w:t xml:space="preserve">data e maturimit; </w:t>
      </w:r>
    </w:p>
    <w:p w14:paraId="1B69E01E"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 xml:space="preserve">T – </w:t>
      </w:r>
      <w:r w:rsidRPr="00D713DD">
        <w:rPr>
          <w:rFonts w:ascii="Times New Roman" w:eastAsia="Batang" w:hAnsi="Times New Roman" w:cs="Times New Roman"/>
          <w:noProof/>
          <w:lang w:eastAsia="ko-KR"/>
        </w:rPr>
        <w:t>bashkësia e të gjitha datave të maturimit;</w:t>
      </w:r>
    </w:p>
    <w:p w14:paraId="47C7911A"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lang w:eastAsia="ko-KR"/>
        </w:rPr>
      </w:pPr>
      <w:r w:rsidRPr="00D713DD">
        <w:rPr>
          <w:rFonts w:ascii="Times New Roman" w:eastAsia="Batang" w:hAnsi="Times New Roman" w:cs="Times New Roman"/>
          <w:i/>
          <w:noProof/>
          <w:lang w:eastAsia="ko-KR"/>
        </w:rPr>
        <w:lastRenderedPageBreak/>
        <w:t>N</w:t>
      </w:r>
      <w:r w:rsidRPr="00D713DD">
        <w:rPr>
          <w:rFonts w:ascii="Times New Roman" w:eastAsia="Batang" w:hAnsi="Times New Roman" w:cs="Times New Roman"/>
          <w:i/>
          <w:noProof/>
          <w:vertAlign w:val="subscript"/>
          <w:lang w:eastAsia="ko-KR"/>
        </w:rPr>
        <w:t xml:space="preserve">t </w:t>
      </w:r>
      <w:r w:rsidRPr="00D713DD">
        <w:rPr>
          <w:rFonts w:ascii="Times New Roman" w:eastAsia="Batang" w:hAnsi="Times New Roman" w:cs="Times New Roman"/>
          <w:i/>
          <w:noProof/>
          <w:lang w:eastAsia="ko-KR"/>
        </w:rPr>
        <w:t xml:space="preserve">– </w:t>
      </w:r>
      <w:r w:rsidRPr="00D713DD">
        <w:rPr>
          <w:rFonts w:ascii="Times New Roman" w:eastAsia="Batang" w:hAnsi="Times New Roman" w:cs="Times New Roman"/>
          <w:noProof/>
          <w:lang w:eastAsia="ko-KR"/>
        </w:rPr>
        <w:t>Vlera nominale që do të paguhet në datën</w:t>
      </w:r>
      <w:r w:rsidRPr="00D713DD">
        <w:rPr>
          <w:rFonts w:ascii="Times New Roman" w:eastAsia="Batang" w:hAnsi="Times New Roman" w:cs="Times New Roman"/>
          <w:i/>
          <w:noProof/>
          <w:lang w:eastAsia="ko-KR"/>
        </w:rPr>
        <w:t xml:space="preserve"> t.</w:t>
      </w:r>
    </w:p>
    <w:p w14:paraId="4E166E6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4"/>
          <w:szCs w:val="24"/>
          <w:lang w:eastAsia="ko-KR"/>
        </w:rPr>
      </w:pPr>
    </w:p>
    <w:p w14:paraId="4D957A9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4"/>
          <w:szCs w:val="24"/>
          <w:lang w:eastAsia="ko-KR"/>
        </w:rPr>
      </w:pPr>
      <w:r w:rsidRPr="00D713DD">
        <w:rPr>
          <w:rFonts w:ascii="Cambria" w:eastAsia="Batang" w:hAnsi="Cambria" w:cs="Times New Roman"/>
          <w:b/>
          <w:noProof/>
          <w:sz w:val="24"/>
          <w:szCs w:val="24"/>
          <w:lang w:eastAsia="ko-KR"/>
        </w:rPr>
        <w:t>KMR</w:t>
      </w:r>
      <w:r w:rsidRPr="00D713DD">
        <w:rPr>
          <w:rFonts w:ascii="Times New Roman" w:eastAsia="Batang" w:hAnsi="Times New Roman" w:cs="Times New Roman"/>
          <w:i/>
          <w:noProof/>
          <w:sz w:val="24"/>
          <w:szCs w:val="24"/>
          <w:lang w:eastAsia="ko-KR"/>
        </w:rPr>
        <w:t xml:space="preserve"> </w:t>
      </w:r>
      <w:r w:rsidRPr="00D713DD">
        <w:rPr>
          <w:rFonts w:ascii="Times New Roman" w:eastAsia="Batang" w:hAnsi="Times New Roman" w:cs="Times New Roman"/>
          <w:b/>
          <w:noProof/>
          <w:sz w:val="24"/>
          <w:szCs w:val="24"/>
          <w:lang w:eastAsia="ko-KR"/>
        </w:rPr>
        <w:t>–</w:t>
      </w:r>
      <w:r w:rsidRPr="00D713DD">
        <w:rPr>
          <w:rFonts w:ascii="Times New Roman" w:eastAsia="Batang" w:hAnsi="Times New Roman" w:cs="Times New Roman"/>
          <w:noProof/>
          <w:sz w:val="24"/>
          <w:szCs w:val="24"/>
          <w:lang w:eastAsia="ko-KR"/>
        </w:rPr>
        <w:t xml:space="preserve"> Tregues i </w:t>
      </w:r>
      <w:r w:rsidRPr="00D713DD">
        <w:rPr>
          <w:rFonts w:ascii="Times New Roman" w:eastAsia="Batang" w:hAnsi="Times New Roman" w:cs="Times New Roman"/>
          <w:noProof/>
          <w:color w:val="000000"/>
          <w:sz w:val="24"/>
          <w:szCs w:val="24"/>
          <w:lang w:eastAsia="ko-KR"/>
        </w:rPr>
        <w:t>riskut</w:t>
      </w:r>
      <w:r w:rsidRPr="00D713DD">
        <w:rPr>
          <w:rFonts w:ascii="Times New Roman" w:eastAsia="Batang" w:hAnsi="Times New Roman" w:cs="Times New Roman"/>
          <w:noProof/>
          <w:sz w:val="24"/>
          <w:szCs w:val="24"/>
          <w:lang w:eastAsia="ko-KR"/>
        </w:rPr>
        <w:t xml:space="preserve"> të normave të interesit për borxhin. Jep informacion lidhur me ekspozimin e portofolit të borxhit kundrejt ndryshimit të normave të interesit. KMR interpretohet si koha mesatare (në vite) që i duhet portofolit të borxhit për të ripërcaktuar normën e interesit. Sa më e madhe të jetë sasia e instrumenteve afatshkurtër dhe sasia e instrumenteve me norma interesi të ndryshueshëm në portofolin e borxhit, aq më i madh është </w:t>
      </w:r>
      <w:r w:rsidRPr="00D713DD">
        <w:rPr>
          <w:rFonts w:ascii="Times New Roman" w:eastAsia="Batang" w:hAnsi="Times New Roman" w:cs="Times New Roman"/>
          <w:noProof/>
          <w:color w:val="000000"/>
          <w:sz w:val="24"/>
          <w:szCs w:val="24"/>
          <w:lang w:eastAsia="ko-KR"/>
        </w:rPr>
        <w:t>risku</w:t>
      </w:r>
      <w:r w:rsidRPr="00D713DD">
        <w:rPr>
          <w:rFonts w:ascii="Times New Roman" w:eastAsia="Batang" w:hAnsi="Times New Roman" w:cs="Times New Roman"/>
          <w:noProof/>
          <w:sz w:val="24"/>
          <w:szCs w:val="24"/>
          <w:lang w:eastAsia="ko-KR"/>
        </w:rPr>
        <w:t xml:space="preserve"> i normave të interesit dhe aq më i vogël ky tregues dhe anasjelltas. </w:t>
      </w:r>
      <w:r w:rsidRPr="00D713DD">
        <w:rPr>
          <w:rFonts w:ascii="Times New Roman" w:eastAsia="Batang" w:hAnsi="Times New Roman" w:cs="Times New Roman"/>
          <w:noProof/>
          <w:color w:val="000000"/>
          <w:sz w:val="24"/>
          <w:szCs w:val="24"/>
          <w:lang w:eastAsia="ko-KR"/>
        </w:rPr>
        <w:t>KMR për instrumentet financiarë të borxhit përllogaritet sipas formulës së mëposhtme:</w:t>
      </w:r>
    </w:p>
    <w:p w14:paraId="7A8C0C20"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4"/>
          <w:szCs w:val="24"/>
          <w:lang w:eastAsia="ko-KR"/>
        </w:rPr>
      </w:pPr>
    </w:p>
    <w:p w14:paraId="69BA26B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m:oMathPara>
        <m:oMathParaPr>
          <m:jc m:val="left"/>
        </m:oMathParaPr>
        <m:oMath>
          <m:r>
            <m:rPr>
              <m:sty m:val="p"/>
            </m:rPr>
            <w:rPr>
              <w:rFonts w:ascii="Cambria Math" w:eastAsia="Batang" w:hAnsi="Cambria Math" w:cs="Cambria Math"/>
              <w:noProof/>
              <w:color w:val="000000"/>
              <w:sz w:val="24"/>
              <w:szCs w:val="24"/>
              <w:lang w:eastAsia="ko-KR"/>
            </w:rPr>
            <m:t>KMR=</m:t>
          </m:r>
          <m:f>
            <m:fPr>
              <m:ctrlPr>
                <w:rPr>
                  <w:rFonts w:ascii="Cambria Math" w:eastAsia="Batang" w:hAnsi="Cambria Math" w:cs="Times New Roman"/>
                  <w:noProof/>
                  <w:color w:val="000000"/>
                  <w:sz w:val="24"/>
                  <w:szCs w:val="24"/>
                  <w:lang w:eastAsia="ko-KR"/>
                </w:rPr>
              </m:ctrlPr>
            </m:fPr>
            <m:num>
              <m:r>
                <m:rPr>
                  <m:sty m:val="p"/>
                </m:rPr>
                <w:rPr>
                  <w:rFonts w:ascii="Cambria Math" w:eastAsia="Batang" w:hAnsi="Cambria Math" w:cs="Times New Roman"/>
                  <w:noProof/>
                  <w:color w:val="000000"/>
                  <w:sz w:val="24"/>
                  <w:szCs w:val="24"/>
                  <w:lang w:eastAsia="ko-KR"/>
                </w:rPr>
                <m:t xml:space="preserve">  </m:t>
              </m:r>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r∈R</m:t>
                  </m:r>
                </m:sub>
                <m:sup/>
                <m:e>
                  <m:r>
                    <w:rPr>
                      <w:rFonts w:ascii="Cambria Math" w:eastAsia="Batang" w:hAnsi="Cambria Math" w:cs="Cambria Math"/>
                      <w:noProof/>
                      <w:color w:val="000000"/>
                      <w:sz w:val="24"/>
                      <w:szCs w:val="24"/>
                      <w:lang w:eastAsia="ko-KR"/>
                    </w:rPr>
                    <m:t xml:space="preserve">  r Nr</m:t>
                  </m:r>
                </m:e>
              </m:nary>
              <m:r>
                <m:rPr>
                  <m:sty m:val="p"/>
                </m:rPr>
                <w:rPr>
                  <w:rFonts w:ascii="Cambria Math" w:eastAsia="Batang" w:hAnsi="Cambria Math" w:cs="Cambria Math"/>
                  <w:noProof/>
                  <w:color w:val="000000"/>
                  <w:sz w:val="24"/>
                  <w:szCs w:val="24"/>
                  <w:lang w:eastAsia="ko-KR"/>
                </w:rPr>
                <m:t>+</m:t>
              </m:r>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t∈T</m:t>
                  </m:r>
                </m:sub>
                <m:sup/>
                <m:e>
                  <m:r>
                    <m:rPr>
                      <m:sty m:val="p"/>
                    </m:rPr>
                    <w:rPr>
                      <w:rFonts w:ascii="Cambria Math" w:eastAsia="Batang" w:hAnsi="Cambria Math" w:cs="Cambria Math"/>
                      <w:noProof/>
                      <w:color w:val="000000"/>
                      <w:sz w:val="24"/>
                      <w:szCs w:val="24"/>
                      <w:lang w:eastAsia="ko-KR"/>
                    </w:rPr>
                    <m:t xml:space="preserve"> </m:t>
                  </m:r>
                </m:e>
              </m:nary>
              <m:r>
                <w:rPr>
                  <w:rFonts w:ascii="Cambria Math" w:eastAsia="Batang" w:hAnsi="Cambria Math" w:cs="Cambria Math"/>
                  <w:noProof/>
                  <w:color w:val="000000"/>
                  <w:sz w:val="24"/>
                  <w:szCs w:val="24"/>
                  <w:lang w:eastAsia="ko-KR"/>
                </w:rPr>
                <m:t>t Nt</m:t>
              </m:r>
            </m:num>
            <m:den>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r∈R</m:t>
                  </m:r>
                </m:sub>
                <m:sup/>
                <m:e>
                  <m:r>
                    <w:rPr>
                      <w:rFonts w:ascii="Cambria Math" w:eastAsia="Batang" w:hAnsi="Cambria Math" w:cs="Cambria Math"/>
                      <w:noProof/>
                      <w:color w:val="000000"/>
                      <w:sz w:val="24"/>
                      <w:szCs w:val="24"/>
                      <w:lang w:eastAsia="ko-KR"/>
                    </w:rPr>
                    <m:t xml:space="preserve"> Nr</m:t>
                  </m:r>
                </m:e>
              </m:nary>
              <m:r>
                <m:rPr>
                  <m:sty m:val="p"/>
                </m:rPr>
                <w:rPr>
                  <w:rFonts w:ascii="Cambria Math" w:eastAsia="Batang" w:hAnsi="Cambria Math" w:cs="Cambria Math"/>
                  <w:noProof/>
                  <w:color w:val="000000"/>
                  <w:sz w:val="24"/>
                  <w:szCs w:val="24"/>
                  <w:lang w:eastAsia="ko-KR"/>
                </w:rPr>
                <m:t>+</m:t>
              </m:r>
              <m:nary>
                <m:naryPr>
                  <m:chr m:val="∑"/>
                  <m:grow m:val="1"/>
                  <m:ctrlPr>
                    <w:rPr>
                      <w:rFonts w:ascii="Cambria Math" w:eastAsia="Batang" w:hAnsi="Cambria Math" w:cs="Cambria Math"/>
                      <w:noProof/>
                      <w:color w:val="000000"/>
                      <w:sz w:val="24"/>
                      <w:szCs w:val="24"/>
                      <w:lang w:eastAsia="ko-KR"/>
                    </w:rPr>
                  </m:ctrlPr>
                </m:naryPr>
                <m:sub>
                  <m:r>
                    <w:rPr>
                      <w:rFonts w:ascii="Cambria Math" w:eastAsia="Cambria Math" w:hAnsi="Cambria Math" w:cs="Cambria Math"/>
                      <w:noProof/>
                      <w:color w:val="000000"/>
                      <w:sz w:val="24"/>
                      <w:szCs w:val="24"/>
                      <w:lang w:eastAsia="ko-KR"/>
                    </w:rPr>
                    <m:t>t∈T</m:t>
                  </m:r>
                </m:sub>
                <m:sup/>
                <m:e>
                  <m:r>
                    <m:rPr>
                      <m:sty m:val="p"/>
                    </m:rPr>
                    <w:rPr>
                      <w:rFonts w:ascii="Cambria Math" w:eastAsia="Batang" w:hAnsi="Cambria Math" w:cs="Cambria Math"/>
                      <w:noProof/>
                      <w:color w:val="000000"/>
                      <w:sz w:val="24"/>
                      <w:szCs w:val="24"/>
                      <w:lang w:eastAsia="ko-KR"/>
                    </w:rPr>
                    <m:t xml:space="preserve"> </m:t>
                  </m:r>
                </m:e>
              </m:nary>
              <m:r>
                <w:rPr>
                  <w:rFonts w:ascii="Cambria Math" w:eastAsia="Batang" w:hAnsi="Cambria Math" w:cs="Cambria Math"/>
                  <w:noProof/>
                  <w:color w:val="000000"/>
                  <w:sz w:val="24"/>
                  <w:szCs w:val="24"/>
                  <w:lang w:eastAsia="ko-KR"/>
                </w:rPr>
                <m:t>Nt</m:t>
              </m:r>
            </m:den>
          </m:f>
        </m:oMath>
      </m:oMathPara>
    </w:p>
    <w:p w14:paraId="256BA3A1"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2D7121F8"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Times New Roman" w:eastAsia="Batang" w:hAnsi="Times New Roman" w:cs="Times New Roman"/>
          <w:noProof/>
          <w:sz w:val="24"/>
          <w:szCs w:val="24"/>
          <w:lang w:eastAsia="ko-KR"/>
        </w:rPr>
        <w:t>Nga ku:</w:t>
      </w:r>
    </w:p>
    <w:p w14:paraId="6830EFB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3868803E"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i/>
          <w:noProof/>
          <w:lang w:eastAsia="ko-KR"/>
        </w:rPr>
      </w:pPr>
      <w:r w:rsidRPr="00D713DD">
        <w:rPr>
          <w:rFonts w:ascii="Times New Roman" w:eastAsia="Batang" w:hAnsi="Times New Roman" w:cs="Times New Roman"/>
          <w:i/>
          <w:noProof/>
          <w:lang w:eastAsia="ko-KR"/>
        </w:rPr>
        <w:t xml:space="preserve"> r</w:t>
      </w:r>
      <w:r w:rsidRPr="00D713DD">
        <w:rPr>
          <w:rFonts w:ascii="Times New Roman" w:eastAsia="Batang" w:hAnsi="Times New Roman" w:cs="Times New Roman"/>
          <w:i/>
          <w:noProof/>
          <w:vertAlign w:val="subscript"/>
          <w:lang w:eastAsia="ko-KR"/>
        </w:rPr>
        <w:t xml:space="preserve"> </w:t>
      </w:r>
      <w:r w:rsidRPr="00D713DD">
        <w:rPr>
          <w:rFonts w:ascii="Times New Roman" w:eastAsia="Batang" w:hAnsi="Times New Roman" w:cs="Times New Roman"/>
          <w:noProof/>
          <w:lang w:eastAsia="ko-KR"/>
        </w:rPr>
        <w:t xml:space="preserve">– </w:t>
      </w:r>
      <w:r w:rsidRPr="00D713DD">
        <w:rPr>
          <w:rFonts w:ascii="Times New Roman" w:eastAsia="Batang" w:hAnsi="Times New Roman" w:cs="Times New Roman"/>
          <w:i/>
          <w:noProof/>
          <w:lang w:eastAsia="ko-KR"/>
        </w:rPr>
        <w:t xml:space="preserve"> </w:t>
      </w:r>
      <w:r w:rsidRPr="00D713DD">
        <w:rPr>
          <w:rFonts w:ascii="Times New Roman" w:eastAsia="Batang" w:hAnsi="Times New Roman" w:cs="Times New Roman"/>
          <w:noProof/>
          <w:lang w:eastAsia="ko-KR"/>
        </w:rPr>
        <w:t>data e pagesës së kuponit të instrumentit me norma interesi të lëvizshme;</w:t>
      </w:r>
    </w:p>
    <w:p w14:paraId="1C0C98AD"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 xml:space="preserve"> t </w:t>
      </w:r>
      <w:r w:rsidRPr="00D713DD">
        <w:rPr>
          <w:rFonts w:ascii="Times New Roman" w:eastAsia="Batang" w:hAnsi="Times New Roman" w:cs="Times New Roman"/>
          <w:noProof/>
          <w:lang w:eastAsia="ko-KR"/>
        </w:rPr>
        <w:t>–</w:t>
      </w:r>
      <w:r w:rsidRPr="00D713DD">
        <w:rPr>
          <w:rFonts w:ascii="Times New Roman" w:eastAsia="Batang" w:hAnsi="Times New Roman" w:cs="Times New Roman"/>
          <w:i/>
          <w:noProof/>
          <w:lang w:eastAsia="ko-KR"/>
        </w:rPr>
        <w:t xml:space="preserve">  </w:t>
      </w:r>
      <w:r w:rsidRPr="00D713DD">
        <w:rPr>
          <w:rFonts w:ascii="Times New Roman" w:eastAsia="Batang" w:hAnsi="Times New Roman" w:cs="Times New Roman"/>
          <w:noProof/>
          <w:lang w:eastAsia="ko-KR"/>
        </w:rPr>
        <w:t>data e maturimit të instrumentit me norma interesi fikse;</w:t>
      </w:r>
    </w:p>
    <w:p w14:paraId="2A49E9A2"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N</w:t>
      </w:r>
      <w:r w:rsidRPr="00D713DD">
        <w:rPr>
          <w:rFonts w:ascii="Times New Roman" w:eastAsia="Batang" w:hAnsi="Times New Roman" w:cs="Times New Roman"/>
          <w:i/>
          <w:noProof/>
          <w:vertAlign w:val="subscript"/>
          <w:lang w:eastAsia="ko-KR"/>
        </w:rPr>
        <w:t xml:space="preserve">r </w:t>
      </w:r>
      <w:r w:rsidRPr="00D713DD">
        <w:rPr>
          <w:rFonts w:ascii="Times New Roman" w:eastAsia="Batang" w:hAnsi="Times New Roman" w:cs="Times New Roman"/>
          <w:noProof/>
          <w:lang w:eastAsia="ko-KR"/>
        </w:rPr>
        <w:t>– vlera nominale e instrumentit me norma interesi të lëvizshme;</w:t>
      </w:r>
    </w:p>
    <w:p w14:paraId="7094BBF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N</w:t>
      </w:r>
      <w:r w:rsidRPr="00D713DD">
        <w:rPr>
          <w:rFonts w:ascii="Times New Roman" w:eastAsia="Batang" w:hAnsi="Times New Roman" w:cs="Times New Roman"/>
          <w:i/>
          <w:noProof/>
          <w:vertAlign w:val="subscript"/>
          <w:lang w:eastAsia="ko-KR"/>
        </w:rPr>
        <w:t xml:space="preserve">t </w:t>
      </w:r>
      <w:r w:rsidRPr="00D713DD">
        <w:rPr>
          <w:rFonts w:ascii="Times New Roman" w:eastAsia="Batang" w:hAnsi="Times New Roman" w:cs="Times New Roman"/>
          <w:noProof/>
          <w:lang w:eastAsia="ko-KR"/>
        </w:rPr>
        <w:t>– vlera nominale e instrumentit me norma interesi fikse;</w:t>
      </w:r>
    </w:p>
    <w:p w14:paraId="14FB39CA"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 xml:space="preserve">R –  </w:t>
      </w:r>
      <w:r w:rsidRPr="00D713DD">
        <w:rPr>
          <w:rFonts w:ascii="Times New Roman" w:eastAsia="Batang" w:hAnsi="Times New Roman" w:cs="Times New Roman"/>
          <w:noProof/>
          <w:lang w:eastAsia="ko-KR"/>
        </w:rPr>
        <w:t>bashkësia e të gjitha datave të maturimit për instrumente me norma interesi të lëvizshme;</w:t>
      </w:r>
    </w:p>
    <w:p w14:paraId="04E4AC10"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lang w:eastAsia="ko-KR"/>
        </w:rPr>
      </w:pPr>
      <w:r w:rsidRPr="00D713DD">
        <w:rPr>
          <w:rFonts w:ascii="Times New Roman" w:eastAsia="Batang" w:hAnsi="Times New Roman" w:cs="Times New Roman"/>
          <w:i/>
          <w:noProof/>
          <w:lang w:eastAsia="ko-KR"/>
        </w:rPr>
        <w:t xml:space="preserve">T –  </w:t>
      </w:r>
      <w:r w:rsidRPr="00D713DD">
        <w:rPr>
          <w:rFonts w:ascii="Times New Roman" w:eastAsia="Batang" w:hAnsi="Times New Roman" w:cs="Times New Roman"/>
          <w:noProof/>
          <w:lang w:eastAsia="ko-KR"/>
        </w:rPr>
        <w:t>bashkësia e të gjitha datave të maturimit për instrumente me norma interesi fikse.</w:t>
      </w:r>
    </w:p>
    <w:p w14:paraId="53A9A5B2" w14:textId="77777777" w:rsidR="009354F2" w:rsidRPr="00D713DD" w:rsidRDefault="009354F2" w:rsidP="00197C26">
      <w:pPr>
        <w:tabs>
          <w:tab w:val="left" w:pos="360"/>
        </w:tabs>
        <w:autoSpaceDE w:val="0"/>
        <w:autoSpaceDN w:val="0"/>
        <w:adjustRightInd w:val="0"/>
        <w:spacing w:after="0" w:line="240" w:lineRule="auto"/>
        <w:ind w:right="-46"/>
        <w:jc w:val="both"/>
        <w:rPr>
          <w:rFonts w:ascii="Cambria" w:eastAsia="Batang" w:hAnsi="Cambria" w:cs="Times New Roman"/>
          <w:b/>
          <w:noProof/>
          <w:color w:val="000000"/>
          <w:sz w:val="20"/>
          <w:szCs w:val="20"/>
          <w:lang w:eastAsia="ko-KR"/>
        </w:rPr>
      </w:pPr>
    </w:p>
    <w:p w14:paraId="2E468D3C"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color w:val="000000"/>
          <w:sz w:val="24"/>
          <w:szCs w:val="24"/>
          <w:lang w:eastAsia="ko-KR"/>
        </w:rPr>
      </w:pPr>
      <w:r w:rsidRPr="00D713DD">
        <w:rPr>
          <w:rFonts w:ascii="Cambria" w:eastAsia="Batang" w:hAnsi="Cambria" w:cs="Times New Roman"/>
          <w:b/>
          <w:noProof/>
          <w:color w:val="000000"/>
          <w:sz w:val="24"/>
          <w:szCs w:val="24"/>
          <w:lang w:eastAsia="ko-KR"/>
        </w:rPr>
        <w:t xml:space="preserve">PBG </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noProof/>
          <w:color w:val="000000"/>
          <w:sz w:val="24"/>
          <w:szCs w:val="24"/>
          <w:lang w:eastAsia="ko-KR"/>
        </w:rPr>
        <w:t>Është garanci e emetuar nga Banka Botërore, e cila garanton vlerën e plotë ose të pjesshme të një huaje, me qëllim mundësimin e saj me kosto më të favorshme se ajo e ofruar nga tregu.</w:t>
      </w:r>
    </w:p>
    <w:p w14:paraId="63A4FC07"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4B65927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Raport mbulimi</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 xml:space="preserve">Raporti ndërmjet shumës së kërkuar </w:t>
      </w:r>
      <w:r w:rsidRPr="00D713DD">
        <w:rPr>
          <w:rFonts w:ascii="Times New Roman" w:eastAsia="Batang" w:hAnsi="Times New Roman" w:cs="Times New Roman"/>
          <w:i/>
          <w:noProof/>
          <w:sz w:val="24"/>
          <w:szCs w:val="24"/>
          <w:lang w:eastAsia="ko-KR"/>
        </w:rPr>
        <w:t>(nga investitorët)</w:t>
      </w:r>
      <w:r w:rsidRPr="00D713DD">
        <w:rPr>
          <w:rFonts w:ascii="Times New Roman" w:eastAsia="Batang" w:hAnsi="Times New Roman" w:cs="Times New Roman"/>
          <w:noProof/>
          <w:sz w:val="24"/>
          <w:szCs w:val="24"/>
          <w:lang w:eastAsia="ko-KR"/>
        </w:rPr>
        <w:t xml:space="preserve"> dhe shumës së ofruar</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i/>
          <w:noProof/>
          <w:sz w:val="24"/>
          <w:szCs w:val="24"/>
          <w:lang w:eastAsia="ko-KR"/>
        </w:rPr>
        <w:t xml:space="preserve">(nga shteti) </w:t>
      </w:r>
      <w:r w:rsidRPr="00D713DD">
        <w:rPr>
          <w:rFonts w:ascii="Times New Roman" w:eastAsia="Batang" w:hAnsi="Times New Roman" w:cs="Times New Roman"/>
          <w:noProof/>
          <w:sz w:val="24"/>
          <w:szCs w:val="24"/>
          <w:lang w:eastAsia="ko-KR"/>
        </w:rPr>
        <w:t>në ankandet e titujve shtetërorë</w:t>
      </w:r>
      <w:r w:rsidRPr="00D713DD">
        <w:rPr>
          <w:rFonts w:ascii="Times New Roman" w:eastAsia="Batang" w:hAnsi="Times New Roman" w:cs="Times New Roman"/>
          <w:i/>
          <w:noProof/>
          <w:sz w:val="24"/>
          <w:szCs w:val="24"/>
          <w:lang w:eastAsia="ko-KR"/>
        </w:rPr>
        <w:t>.</w:t>
      </w:r>
      <w:r w:rsidRPr="00D713DD">
        <w:rPr>
          <w:rFonts w:ascii="Times New Roman" w:eastAsia="Batang" w:hAnsi="Times New Roman" w:cs="Times New Roman"/>
          <w:noProof/>
          <w:color w:val="000000"/>
          <w:sz w:val="24"/>
          <w:szCs w:val="24"/>
          <w:lang w:eastAsia="ko-KR"/>
        </w:rPr>
        <w:t xml:space="preserve"> Shërben për të vlerësuar nivelin e plotësimit të ankandeve dhe gjendjen e likuiditetit.</w:t>
      </w:r>
      <w:r w:rsidRPr="00D713DD">
        <w:rPr>
          <w:rFonts w:ascii="Times New Roman" w:eastAsia="Batang" w:hAnsi="Times New Roman" w:cs="Times New Roman"/>
          <w:i/>
          <w:noProof/>
          <w:sz w:val="24"/>
          <w:szCs w:val="24"/>
          <w:lang w:eastAsia="ko-KR"/>
        </w:rPr>
        <w:t xml:space="preserve"> </w:t>
      </w:r>
    </w:p>
    <w:p w14:paraId="12B033ED"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0CC4BF07"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Risku i kursit të këmbimit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 xml:space="preserve">I referohet ndikimit të lëvizjes së kursit të këmbimit të një </w:t>
      </w:r>
      <w:r w:rsidR="00B308B7" w:rsidRPr="00D713DD">
        <w:rPr>
          <w:rFonts w:ascii="Times New Roman" w:eastAsia="Batang" w:hAnsi="Times New Roman" w:cs="Times New Roman"/>
          <w:noProof/>
          <w:sz w:val="24"/>
          <w:szCs w:val="24"/>
          <w:lang w:eastAsia="ko-KR"/>
        </w:rPr>
        <w:t>va;ute</w:t>
      </w:r>
      <w:r w:rsidRPr="00D713DD">
        <w:rPr>
          <w:rFonts w:ascii="Times New Roman" w:eastAsia="Batang" w:hAnsi="Times New Roman" w:cs="Times New Roman"/>
          <w:noProof/>
          <w:sz w:val="24"/>
          <w:szCs w:val="24"/>
          <w:lang w:eastAsia="ko-KR"/>
        </w:rPr>
        <w:t>, mbi nivelin e borxhit dhe shërbimin e tij në një masë të caktuar mbi pritshmëritë. Psh.: “Mbiçmimi ose nënçmimi i monedhës vendase kundrejt një monedhe të huaj, e cila është pjesë përbërëse e portofolit të borxhit, mund të rezultojë në rënie ose rritje proporcionale të volumit të borxhit ose shërbimit të tij (</w:t>
      </w:r>
      <w:r w:rsidRPr="00D713DD">
        <w:rPr>
          <w:rFonts w:ascii="Times New Roman" w:eastAsia="Batang" w:hAnsi="Times New Roman" w:cs="Times New Roman"/>
          <w:i/>
          <w:noProof/>
          <w:sz w:val="24"/>
          <w:szCs w:val="24"/>
          <w:lang w:eastAsia="ko-KR"/>
        </w:rPr>
        <w:t>të denominuar në monedhë vendase</w:t>
      </w:r>
      <w:r w:rsidRPr="00D713DD">
        <w:rPr>
          <w:rFonts w:ascii="Times New Roman" w:eastAsia="Batang" w:hAnsi="Times New Roman" w:cs="Times New Roman"/>
          <w:noProof/>
          <w:sz w:val="24"/>
          <w:szCs w:val="24"/>
          <w:lang w:eastAsia="ko-KR"/>
        </w:rPr>
        <w:t>)”.</w:t>
      </w:r>
    </w:p>
    <w:p w14:paraId="72E11E4C"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415430A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Risku i likuiditetit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Risku që lidhet me humbjen e aftësisë së buxhetit të shtetit për të likuiduar detyrimet korrente</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noProof/>
          <w:sz w:val="24"/>
          <w:szCs w:val="24"/>
          <w:lang w:eastAsia="ko-KR"/>
        </w:rPr>
        <w:t xml:space="preserve">dhe ekzektutimin në kohë të shpenzimeve buxhetore. Me qëllim minimizimin e këtij risku, shteti duhet të ketë akses mbi një sasi të caktuar asetesh likuide me qëllim garantimin e fondeve në raste krizash të përkohshme, gjatë të cilave bëhet e vështirë ose me kosto të lartë, sigurimi i tyre. </w:t>
      </w:r>
    </w:p>
    <w:p w14:paraId="55DAADC3"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4148F5CB"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Risku i normave të interesit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 xml:space="preserve">Risku që pagesat e shërbimit të borxhit të ndryshojnë si rrjedhojë e lëvizjes së normave të interesit. Ky risk krijohet nga nevoja për të shërbyer borxhin që maturohet dhe pagesat e kuponëve të instrumenteve me norma interesi të ndryshueshme në të ardhmen. </w:t>
      </w:r>
    </w:p>
    <w:p w14:paraId="270A526D"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5208E5BB"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Risku operacional</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 xml:space="preserve">Risku që ka të bëjë me rritjen e kostos së menaxhimit të borxhit ose me rritjen e nivelit të risqeve të tjera si rezultat i gabimeve njerëzore, dëmtimit të pajisjeve elektronike, dëmeve natyrore, etj. Risku operacional është një risk relativisht i vështirë për t’u matur dhe vlerësuar. Ulja e ekspozimit të riskut operacional mund të arrihet nëpërmjet integrimit të procedurave të menaxhimit të borxhit në një strukturë organizative, duke pasur strukturën, </w:t>
      </w:r>
      <w:r w:rsidRPr="00D713DD">
        <w:rPr>
          <w:rFonts w:ascii="Times New Roman" w:eastAsia="Batang" w:hAnsi="Times New Roman" w:cs="Times New Roman"/>
          <w:noProof/>
          <w:sz w:val="24"/>
          <w:szCs w:val="24"/>
          <w:lang w:eastAsia="ko-KR"/>
        </w:rPr>
        <w:lastRenderedPageBreak/>
        <w:t>infrastrukturën dhe procedurat të drejtuara nga aktivitete operacionale efiçente për menaxhimin e administratës shtetërore dhe tregjeve financiare.</w:t>
      </w:r>
    </w:p>
    <w:p w14:paraId="3A62115F"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5F414C91"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4"/>
          <w:szCs w:val="24"/>
          <w:lang w:eastAsia="ko-KR"/>
        </w:rPr>
      </w:pPr>
      <w:r w:rsidRPr="00D713DD">
        <w:rPr>
          <w:rFonts w:ascii="Cambria" w:eastAsia="Batang" w:hAnsi="Cambria" w:cs="Times New Roman"/>
          <w:b/>
          <w:noProof/>
          <w:sz w:val="24"/>
          <w:szCs w:val="24"/>
          <w:lang w:eastAsia="ko-KR"/>
        </w:rPr>
        <w:t xml:space="preserve">Risku i </w:t>
      </w:r>
      <w:r w:rsidR="00B308B7" w:rsidRPr="00D713DD">
        <w:rPr>
          <w:rFonts w:ascii="Cambria" w:eastAsia="Batang" w:hAnsi="Cambria" w:cs="Times New Roman"/>
          <w:b/>
          <w:noProof/>
          <w:sz w:val="24"/>
          <w:szCs w:val="24"/>
          <w:lang w:eastAsia="ko-KR"/>
        </w:rPr>
        <w:t>ri</w:t>
      </w:r>
      <w:r w:rsidRPr="00D713DD">
        <w:rPr>
          <w:rFonts w:ascii="Cambria" w:eastAsia="Batang" w:hAnsi="Cambria" w:cs="Times New Roman"/>
          <w:b/>
          <w:noProof/>
          <w:sz w:val="24"/>
          <w:szCs w:val="24"/>
          <w:lang w:eastAsia="ko-KR"/>
        </w:rPr>
        <w:t>financimit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 xml:space="preserve">Risku që lidhet me aftësinë për të emetuar instrumente ose marrë hua me qëllim ri-financimin dhe shërbimin e borxhit aktual. Sa më i madh të jetë volumi i shumave që maturohen dhe sa më i afërt në kohë, aq më i lartë është risku i ri-financimit dhe anasjelltas. Risku i ri-financimit ndikohet nga niveli i borxhit ekzistues dhe profili i amortizimit. Rritja e maturitetit të borxhit dhe shpërndarja në kohë e maturimeve ndikon në reduktimin e riskut të ri-financimit. </w:t>
      </w:r>
    </w:p>
    <w:p w14:paraId="67233575"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4CC6C117"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sz w:val="24"/>
          <w:szCs w:val="24"/>
        </w:rPr>
      </w:pPr>
      <w:r w:rsidRPr="00D713DD">
        <w:rPr>
          <w:rFonts w:ascii="Cambria" w:eastAsia="Batang" w:hAnsi="Cambria" w:cs="Times New Roman"/>
          <w:b/>
          <w:noProof/>
          <w:sz w:val="24"/>
          <w:szCs w:val="24"/>
        </w:rPr>
        <w:t>Stoku i borxhit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rPr>
        <w:t>Balanca e principalit të borxhit në një moment të dhënë të kohës.</w:t>
      </w:r>
    </w:p>
    <w:p w14:paraId="7FEA654B" w14:textId="77777777" w:rsidR="009354F2" w:rsidRPr="00D713DD" w:rsidRDefault="009354F2" w:rsidP="00197C26">
      <w:pPr>
        <w:autoSpaceDE w:val="0"/>
        <w:autoSpaceDN w:val="0"/>
        <w:adjustRightInd w:val="0"/>
        <w:spacing w:after="0" w:line="23" w:lineRule="atLeast"/>
        <w:ind w:right="-46"/>
        <w:jc w:val="both"/>
        <w:rPr>
          <w:rFonts w:ascii="Times New Roman" w:eastAsia="Batang" w:hAnsi="Times New Roman" w:cs="Times New Roman"/>
          <w:noProof/>
          <w:sz w:val="20"/>
          <w:szCs w:val="20"/>
        </w:rPr>
      </w:pPr>
    </w:p>
    <w:p w14:paraId="5E3CFB8F" w14:textId="77777777" w:rsidR="009354F2" w:rsidRPr="00D713DD" w:rsidRDefault="009354F2" w:rsidP="00197C26">
      <w:pPr>
        <w:tabs>
          <w:tab w:val="left" w:pos="9498"/>
        </w:tabs>
        <w:autoSpaceDE w:val="0"/>
        <w:autoSpaceDN w:val="0"/>
        <w:adjustRightInd w:val="0"/>
        <w:spacing w:after="0" w:line="23" w:lineRule="atLeast"/>
        <w:ind w:right="-46"/>
        <w:jc w:val="both"/>
        <w:rPr>
          <w:rFonts w:ascii="Times New Roman" w:eastAsia="Batang" w:hAnsi="Times New Roman" w:cs="Times New Roman"/>
          <w:noProof/>
          <w:sz w:val="24"/>
          <w:szCs w:val="24"/>
        </w:rPr>
      </w:pPr>
      <w:r w:rsidRPr="00D713DD">
        <w:rPr>
          <w:rFonts w:ascii="Cambria" w:eastAsia="Batang" w:hAnsi="Cambria" w:cs="Times New Roman"/>
          <w:b/>
          <w:noProof/>
          <w:sz w:val="24"/>
          <w:szCs w:val="24"/>
        </w:rPr>
        <w:t>Shërbim</w:t>
      </w:r>
      <w:r w:rsidR="004F7EA2" w:rsidRPr="00D713DD">
        <w:rPr>
          <w:rFonts w:ascii="Cambria" w:eastAsia="Batang" w:hAnsi="Cambria" w:cs="Times New Roman"/>
          <w:b/>
          <w:noProof/>
          <w:sz w:val="24"/>
          <w:szCs w:val="24"/>
        </w:rPr>
        <w:t xml:space="preserve"> i</w:t>
      </w:r>
      <w:r w:rsidRPr="00D713DD">
        <w:rPr>
          <w:rFonts w:ascii="Cambria" w:eastAsia="Batang" w:hAnsi="Cambria" w:cs="Times New Roman"/>
          <w:b/>
          <w:noProof/>
          <w:sz w:val="24"/>
          <w:szCs w:val="24"/>
        </w:rPr>
        <w:t xml:space="preserve"> borxhi</w:t>
      </w:r>
      <w:r w:rsidR="004F7EA2" w:rsidRPr="00D713DD">
        <w:rPr>
          <w:rFonts w:ascii="Cambria" w:eastAsia="Batang" w:hAnsi="Cambria" w:cs="Times New Roman"/>
          <w:b/>
          <w:noProof/>
          <w:sz w:val="24"/>
          <w:szCs w:val="24"/>
        </w:rPr>
        <w:t>t</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rPr>
        <w:t>Pagesat e principalit dhe interesit në përputhje me termat e përcaktuara në marrëveshje.</w:t>
      </w:r>
    </w:p>
    <w:p w14:paraId="648B8CF7" w14:textId="77777777" w:rsidR="009354F2" w:rsidRPr="00D713DD" w:rsidRDefault="009354F2" w:rsidP="00197C26">
      <w:pPr>
        <w:tabs>
          <w:tab w:val="left" w:pos="9498"/>
        </w:tabs>
        <w:autoSpaceDE w:val="0"/>
        <w:autoSpaceDN w:val="0"/>
        <w:adjustRightInd w:val="0"/>
        <w:spacing w:after="0" w:line="23" w:lineRule="atLeast"/>
        <w:ind w:right="-46"/>
        <w:jc w:val="both"/>
        <w:rPr>
          <w:rFonts w:ascii="Times New Roman" w:eastAsia="Batang" w:hAnsi="Times New Roman" w:cs="Times New Roman"/>
          <w:noProof/>
          <w:sz w:val="20"/>
          <w:szCs w:val="20"/>
        </w:rPr>
      </w:pPr>
    </w:p>
    <w:p w14:paraId="58ABCEC6"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4"/>
          <w:szCs w:val="24"/>
          <w:lang w:eastAsia="ko-KR"/>
        </w:rPr>
      </w:pPr>
      <w:r w:rsidRPr="00D713DD">
        <w:rPr>
          <w:rFonts w:ascii="Cambria" w:eastAsia="Batang" w:hAnsi="Cambria" w:cs="Times New Roman"/>
          <w:b/>
          <w:noProof/>
          <w:color w:val="000000"/>
          <w:sz w:val="24"/>
          <w:szCs w:val="24"/>
          <w:lang w:eastAsia="ko-KR"/>
        </w:rPr>
        <w:t xml:space="preserve">Sistemi Primary Dealer </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noProof/>
          <w:color w:val="000000"/>
          <w:sz w:val="24"/>
          <w:szCs w:val="24"/>
          <w:lang w:eastAsia="ko-KR"/>
        </w:rPr>
        <w:t xml:space="preserve">Është një marrëveshje institucionale ndërmjet strukturës përgjegjëse për menaxhimin e borxhit dhe disa ndërmjetësve financiarë </w:t>
      </w:r>
      <w:r w:rsidRPr="00D713DD">
        <w:rPr>
          <w:rFonts w:ascii="Times New Roman" w:eastAsia="Batang" w:hAnsi="Times New Roman" w:cs="Times New Roman"/>
          <w:i/>
          <w:noProof/>
          <w:color w:val="000000"/>
          <w:sz w:val="24"/>
          <w:szCs w:val="24"/>
          <w:lang w:eastAsia="ko-KR"/>
        </w:rPr>
        <w:t xml:space="preserve">(që kanë funksione të specializuara në tregun e titujve shtetërorë), </w:t>
      </w:r>
      <w:r w:rsidRPr="00D713DD">
        <w:rPr>
          <w:rFonts w:ascii="Times New Roman" w:eastAsia="Batang" w:hAnsi="Times New Roman" w:cs="Times New Roman"/>
          <w:noProof/>
          <w:color w:val="000000"/>
          <w:sz w:val="24"/>
          <w:szCs w:val="24"/>
          <w:lang w:eastAsia="ko-KR"/>
        </w:rPr>
        <w:t>me qëllim zbatimin e një strategjie që ka për funksion sigurimin e nevojave për financim të qeverisë dhe zhvillimin e tregut të titujve.</w:t>
      </w:r>
    </w:p>
    <w:p w14:paraId="5228631C"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b/>
          <w:noProof/>
          <w:sz w:val="20"/>
          <w:szCs w:val="20"/>
          <w:lang w:eastAsia="ko-KR"/>
        </w:rPr>
      </w:pPr>
    </w:p>
    <w:p w14:paraId="726F1990"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Tregu primar</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Është hapësira fizike ose funksionale në të cilin Shteti Shqiptar emeton për herë të parë titujt.</w:t>
      </w:r>
    </w:p>
    <w:p w14:paraId="2B3494D6"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1B3EA265"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Tregu sekondar</w:t>
      </w:r>
      <w:r w:rsidRPr="00D713DD">
        <w:rPr>
          <w:rFonts w:ascii="Times New Roman" w:eastAsia="Batang" w:hAnsi="Times New Roman" w:cs="Times New Roman"/>
          <w:b/>
          <w:noProof/>
          <w:sz w:val="24"/>
          <w:szCs w:val="24"/>
          <w:lang w:eastAsia="ko-KR"/>
        </w:rPr>
        <w:t xml:space="preserve"> –</w:t>
      </w:r>
      <w:r w:rsidRPr="00D713DD">
        <w:rPr>
          <w:rFonts w:ascii="Times New Roman" w:eastAsia="Batang" w:hAnsi="Times New Roman" w:cs="Times New Roman"/>
          <w:noProof/>
          <w:sz w:val="24"/>
          <w:szCs w:val="24"/>
          <w:lang w:eastAsia="ko-KR"/>
        </w:rPr>
        <w:t xml:space="preserve"> Është hapësira fizike ose funksionale ku kryhen transaksionet me titujt pasi janë emetuar në tregun primar.</w:t>
      </w:r>
    </w:p>
    <w:p w14:paraId="4CE8CF90"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1A6F9D1C" w14:textId="77777777" w:rsidR="009354F2" w:rsidRPr="00D713DD" w:rsidRDefault="009354F2" w:rsidP="00197C26">
      <w:pPr>
        <w:tabs>
          <w:tab w:val="left" w:pos="360"/>
        </w:tabs>
        <w:spacing w:after="0" w:line="240" w:lineRule="auto"/>
        <w:ind w:right="-46"/>
        <w:jc w:val="both"/>
        <w:rPr>
          <w:rFonts w:ascii="Cambria" w:eastAsia="Times New Roman" w:hAnsi="Cambria" w:cs="Times New Roman"/>
          <w:noProof/>
          <w:sz w:val="24"/>
          <w:szCs w:val="24"/>
        </w:rPr>
      </w:pPr>
      <w:r w:rsidRPr="00D713DD">
        <w:rPr>
          <w:rFonts w:ascii="Cambria" w:eastAsia="Times New Roman" w:hAnsi="Cambria" w:cs="Times New Roman"/>
          <w:b/>
          <w:noProof/>
          <w:sz w:val="24"/>
          <w:szCs w:val="24"/>
        </w:rPr>
        <w:t xml:space="preserve">Tituj afatmesëm </w:t>
      </w:r>
      <w:r w:rsidRPr="00D713DD">
        <w:rPr>
          <w:rFonts w:ascii="Times New Roman" w:eastAsia="Times New Roman" w:hAnsi="Times New Roman" w:cs="Times New Roman"/>
          <w:b/>
          <w:noProof/>
          <w:sz w:val="24"/>
          <w:szCs w:val="24"/>
        </w:rPr>
        <w:t>–</w:t>
      </w:r>
      <w:r w:rsidRPr="00D713DD">
        <w:rPr>
          <w:rFonts w:ascii="Times New Roman" w:eastAsia="Times New Roman" w:hAnsi="Times New Roman" w:cs="Times New Roman"/>
          <w:noProof/>
          <w:sz w:val="24"/>
          <w:szCs w:val="24"/>
        </w:rPr>
        <w:t xml:space="preserve"> I referohet </w:t>
      </w:r>
      <w:r w:rsidRPr="00D713DD">
        <w:rPr>
          <w:rFonts w:ascii="Times New Roman" w:eastAsia="Batang" w:hAnsi="Times New Roman" w:cs="Times New Roman"/>
          <w:bCs/>
          <w:noProof/>
          <w:sz w:val="24"/>
          <w:szCs w:val="24"/>
        </w:rPr>
        <w:t>titujve të borxhit shtetërorë me</w:t>
      </w:r>
      <w:r w:rsidRPr="00D713DD">
        <w:rPr>
          <w:rFonts w:ascii="Times New Roman" w:eastAsia="Batang" w:hAnsi="Times New Roman" w:cs="Times New Roman"/>
          <w:b/>
          <w:bCs/>
          <w:noProof/>
          <w:sz w:val="24"/>
          <w:szCs w:val="24"/>
        </w:rPr>
        <w:t xml:space="preserve"> </w:t>
      </w:r>
      <w:r w:rsidRPr="00D713DD">
        <w:rPr>
          <w:rFonts w:ascii="Times New Roman" w:eastAsia="Times New Roman" w:hAnsi="Times New Roman" w:cs="Times New Roman"/>
          <w:noProof/>
          <w:sz w:val="24"/>
          <w:szCs w:val="24"/>
        </w:rPr>
        <w:t>afat maturimi nga 2 deri në 5 vite.</w:t>
      </w:r>
    </w:p>
    <w:p w14:paraId="46EAEDD3" w14:textId="77777777" w:rsidR="009354F2" w:rsidRPr="00D713DD" w:rsidRDefault="009354F2" w:rsidP="00197C26">
      <w:pPr>
        <w:tabs>
          <w:tab w:val="left" w:pos="360"/>
        </w:tabs>
        <w:spacing w:after="0" w:line="240" w:lineRule="auto"/>
        <w:ind w:right="-46"/>
        <w:jc w:val="both"/>
        <w:rPr>
          <w:rFonts w:ascii="Cambria" w:eastAsia="Times New Roman" w:hAnsi="Cambria" w:cs="Times New Roman"/>
          <w:b/>
          <w:noProof/>
          <w:sz w:val="20"/>
          <w:szCs w:val="20"/>
        </w:rPr>
      </w:pPr>
    </w:p>
    <w:p w14:paraId="3DB28966" w14:textId="77777777" w:rsidR="009354F2" w:rsidRPr="00D713DD" w:rsidRDefault="009354F2" w:rsidP="00197C26">
      <w:pPr>
        <w:tabs>
          <w:tab w:val="left" w:pos="360"/>
        </w:tabs>
        <w:spacing w:after="0" w:line="240" w:lineRule="auto"/>
        <w:ind w:right="-46"/>
        <w:jc w:val="both"/>
        <w:rPr>
          <w:rFonts w:ascii="Times New Roman" w:eastAsia="Times New Roman" w:hAnsi="Times New Roman" w:cs="Times New Roman"/>
          <w:noProof/>
          <w:sz w:val="24"/>
          <w:szCs w:val="24"/>
        </w:rPr>
      </w:pPr>
      <w:r w:rsidRPr="00D713DD">
        <w:rPr>
          <w:rFonts w:ascii="Cambria" w:eastAsia="Times New Roman" w:hAnsi="Cambria" w:cs="Times New Roman"/>
          <w:b/>
          <w:noProof/>
          <w:sz w:val="24"/>
          <w:szCs w:val="24"/>
        </w:rPr>
        <w:t xml:space="preserve">Tituj afatgjatë </w:t>
      </w:r>
      <w:r w:rsidRPr="00D713DD">
        <w:rPr>
          <w:rFonts w:ascii="Times New Roman" w:eastAsia="Times New Roman" w:hAnsi="Times New Roman" w:cs="Times New Roman"/>
          <w:b/>
          <w:noProof/>
          <w:sz w:val="24"/>
          <w:szCs w:val="24"/>
        </w:rPr>
        <w:t xml:space="preserve">– </w:t>
      </w:r>
      <w:r w:rsidRPr="00D713DD">
        <w:rPr>
          <w:rFonts w:ascii="Times New Roman" w:eastAsia="Times New Roman" w:hAnsi="Times New Roman" w:cs="Times New Roman"/>
          <w:noProof/>
          <w:sz w:val="24"/>
          <w:szCs w:val="24"/>
        </w:rPr>
        <w:t xml:space="preserve">I referohet </w:t>
      </w:r>
      <w:r w:rsidRPr="00D713DD">
        <w:rPr>
          <w:rFonts w:ascii="Times New Roman" w:eastAsia="Batang" w:hAnsi="Times New Roman" w:cs="Times New Roman"/>
          <w:bCs/>
          <w:noProof/>
          <w:sz w:val="24"/>
          <w:szCs w:val="24"/>
        </w:rPr>
        <w:t>titujve të borxhit shtetërorë me</w:t>
      </w:r>
      <w:r w:rsidRPr="00D713DD">
        <w:rPr>
          <w:rFonts w:ascii="Times New Roman" w:eastAsia="Batang" w:hAnsi="Times New Roman" w:cs="Times New Roman"/>
          <w:b/>
          <w:bCs/>
          <w:noProof/>
          <w:sz w:val="24"/>
          <w:szCs w:val="24"/>
        </w:rPr>
        <w:t xml:space="preserve"> </w:t>
      </w:r>
      <w:r w:rsidRPr="00D713DD">
        <w:rPr>
          <w:rFonts w:ascii="Times New Roman" w:eastAsia="Times New Roman" w:hAnsi="Times New Roman" w:cs="Times New Roman"/>
          <w:noProof/>
          <w:sz w:val="24"/>
          <w:szCs w:val="24"/>
        </w:rPr>
        <w:t>afat maturimi mbi 5 vite.</w:t>
      </w:r>
    </w:p>
    <w:p w14:paraId="054DEE6B" w14:textId="77777777" w:rsidR="009354F2" w:rsidRPr="00D713DD" w:rsidRDefault="009354F2" w:rsidP="00197C26">
      <w:pPr>
        <w:tabs>
          <w:tab w:val="left" w:pos="360"/>
        </w:tabs>
        <w:spacing w:after="0" w:line="240" w:lineRule="auto"/>
        <w:ind w:right="-46"/>
        <w:jc w:val="both"/>
        <w:rPr>
          <w:rFonts w:ascii="Cambria" w:eastAsia="Times New Roman" w:hAnsi="Cambria" w:cs="Times New Roman"/>
          <w:noProof/>
          <w:sz w:val="20"/>
          <w:szCs w:val="20"/>
        </w:rPr>
      </w:pPr>
    </w:p>
    <w:p w14:paraId="19C0229D" w14:textId="77777777" w:rsidR="009354F2" w:rsidRPr="00D713DD" w:rsidRDefault="009354F2" w:rsidP="00197C26">
      <w:pPr>
        <w:tabs>
          <w:tab w:val="left" w:pos="360"/>
        </w:tabs>
        <w:spacing w:after="0"/>
        <w:ind w:right="-46"/>
        <w:jc w:val="both"/>
        <w:rPr>
          <w:rFonts w:ascii="Times New Roman" w:eastAsia="Times New Roman" w:hAnsi="Times New Roman" w:cs="Times New Roman"/>
          <w:noProof/>
          <w:sz w:val="24"/>
          <w:szCs w:val="24"/>
        </w:rPr>
      </w:pPr>
      <w:r w:rsidRPr="00D713DD">
        <w:rPr>
          <w:rFonts w:ascii="Cambria" w:eastAsia="Times New Roman" w:hAnsi="Cambria" w:cs="Times New Roman"/>
          <w:b/>
          <w:noProof/>
          <w:sz w:val="24"/>
          <w:szCs w:val="24"/>
        </w:rPr>
        <w:t xml:space="preserve">Tituj referencë </w:t>
      </w:r>
      <w:r w:rsidRPr="00D713DD">
        <w:rPr>
          <w:rFonts w:ascii="Cambria" w:eastAsia="Times New Roman" w:hAnsi="Cambria" w:cs="Times New Roman"/>
          <w:b/>
          <w:i/>
          <w:noProof/>
          <w:sz w:val="24"/>
          <w:szCs w:val="24"/>
        </w:rPr>
        <w:t>(benchmark)</w:t>
      </w:r>
      <w:r w:rsidRPr="00D713DD">
        <w:rPr>
          <w:rFonts w:ascii="Cambria" w:eastAsia="Times New Roman" w:hAnsi="Cambria" w:cs="Times New Roman"/>
          <w:b/>
          <w:noProof/>
          <w:sz w:val="24"/>
          <w:szCs w:val="24"/>
        </w:rPr>
        <w:t xml:space="preserve"> </w:t>
      </w:r>
      <w:r w:rsidRPr="00D713DD">
        <w:rPr>
          <w:rFonts w:ascii="Times New Roman" w:eastAsia="Times New Roman" w:hAnsi="Times New Roman" w:cs="Times New Roman"/>
          <w:b/>
          <w:noProof/>
          <w:sz w:val="24"/>
          <w:szCs w:val="24"/>
        </w:rPr>
        <w:t xml:space="preserve">– </w:t>
      </w:r>
      <w:r w:rsidRPr="00D713DD">
        <w:rPr>
          <w:rFonts w:ascii="Times New Roman" w:eastAsia="Batang" w:hAnsi="Times New Roman" w:cs="Times New Roman"/>
          <w:noProof/>
          <w:sz w:val="24"/>
          <w:szCs w:val="24"/>
          <w:lang w:eastAsia="ko-KR"/>
        </w:rPr>
        <w:t>Ë</w:t>
      </w:r>
      <w:r w:rsidRPr="00D713DD">
        <w:rPr>
          <w:rFonts w:ascii="Times New Roman" w:eastAsia="Times New Roman" w:hAnsi="Times New Roman" w:cs="Times New Roman"/>
          <w:noProof/>
          <w:sz w:val="24"/>
          <w:szCs w:val="24"/>
        </w:rPr>
        <w:t>shtë emetimi më i fundit i titujve të shtetit shqiptar për një maturitet të caktuar. Ankandi për titullin referencë mund të rihapet periodikisht deri në arritjen e një vlere të paracaktuar nga Ministria e Financave dhe Ekonomisë. Ky titull përdoret si pikë referimi për vlerësimin e titujve të tjerë shtetërorë me maturitet, shumë emetimi dhe normë kuponi të ngjashëm.</w:t>
      </w:r>
    </w:p>
    <w:p w14:paraId="7AFCAD29" w14:textId="77777777" w:rsidR="009354F2" w:rsidRPr="00D713DD" w:rsidRDefault="009354F2" w:rsidP="00197C26">
      <w:pPr>
        <w:tabs>
          <w:tab w:val="left" w:pos="360"/>
        </w:tabs>
        <w:spacing w:after="0" w:line="240" w:lineRule="auto"/>
        <w:ind w:right="-46"/>
        <w:jc w:val="both"/>
        <w:rPr>
          <w:rFonts w:ascii="Times New Roman" w:eastAsia="Times New Roman" w:hAnsi="Times New Roman" w:cs="Times New Roman"/>
          <w:noProof/>
          <w:sz w:val="24"/>
          <w:szCs w:val="24"/>
        </w:rPr>
      </w:pPr>
      <w:r w:rsidRPr="00D713DD">
        <w:rPr>
          <w:rFonts w:ascii="Times New Roman" w:eastAsia="Times New Roman" w:hAnsi="Times New Roman" w:cs="Times New Roman"/>
          <w:noProof/>
          <w:sz w:val="24"/>
          <w:szCs w:val="24"/>
        </w:rPr>
        <w:t>Përgjithësisht, titujt referencë gëzojnë likuiditet më të lartë se emetimet e zakonshme, për shkak të detyrimit që kanë Zhvilluesit e Tregut për të kuotuar çmime blerjeje/shitjeje në tregun sekondar sipas kushteve të përcaktuara në kontratën e lidhur me Ministrinë e Financave dhe Ekonomisë.</w:t>
      </w:r>
    </w:p>
    <w:p w14:paraId="4A8BECB7" w14:textId="77777777" w:rsidR="009354F2" w:rsidRPr="00D713DD" w:rsidRDefault="009354F2" w:rsidP="00197C26">
      <w:pPr>
        <w:tabs>
          <w:tab w:val="left" w:pos="360"/>
        </w:tabs>
        <w:autoSpaceDE w:val="0"/>
        <w:autoSpaceDN w:val="0"/>
        <w:adjustRightInd w:val="0"/>
        <w:spacing w:after="0" w:line="240" w:lineRule="auto"/>
        <w:ind w:right="-46"/>
        <w:jc w:val="both"/>
        <w:rPr>
          <w:rFonts w:ascii="Times New Roman" w:eastAsia="Batang" w:hAnsi="Times New Roman" w:cs="Times New Roman"/>
          <w:noProof/>
          <w:sz w:val="20"/>
          <w:szCs w:val="20"/>
          <w:lang w:eastAsia="ko-KR"/>
        </w:rPr>
      </w:pPr>
    </w:p>
    <w:p w14:paraId="5949FD51" w14:textId="2A554170" w:rsidR="008038F7" w:rsidRDefault="009354F2" w:rsidP="00660B87">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r w:rsidRPr="00D713DD">
        <w:rPr>
          <w:rFonts w:ascii="Cambria" w:eastAsia="Batang" w:hAnsi="Cambria" w:cs="Times New Roman"/>
          <w:b/>
          <w:noProof/>
          <w:sz w:val="24"/>
          <w:szCs w:val="24"/>
          <w:lang w:eastAsia="ko-KR"/>
        </w:rPr>
        <w:t>Tituj shtetërorë</w:t>
      </w:r>
      <w:r w:rsidRPr="00D713DD">
        <w:rPr>
          <w:rFonts w:ascii="Times New Roman" w:eastAsia="Batang" w:hAnsi="Times New Roman" w:cs="Times New Roman"/>
          <w:b/>
          <w:noProof/>
          <w:sz w:val="24"/>
          <w:szCs w:val="24"/>
          <w:lang w:eastAsia="ko-KR"/>
        </w:rPr>
        <w:t xml:space="preserve"> – </w:t>
      </w:r>
      <w:r w:rsidRPr="00D713DD">
        <w:rPr>
          <w:rFonts w:ascii="Times New Roman" w:eastAsia="Batang" w:hAnsi="Times New Roman" w:cs="Times New Roman"/>
          <w:noProof/>
          <w:sz w:val="24"/>
          <w:szCs w:val="24"/>
          <w:lang w:eastAsia="ko-KR"/>
        </w:rPr>
        <w:t>Janë bonot e thesarit dhe obligacionet shtetërore të emetuara nga Ministria e Financave dhe Ekonomisë në përputhje me ligjin Nr. 9665, datë 18.12.2006, “Për huamarrjen shtetërore, borxhin shtetëror dhe garancitë shtetërore të huasë në Republikën e Shqipërisë”, të ndryshuar; ligjin Nr. 9879, datë 21.02.2008 “Për titujt”; si edhe aktet nënligjore.</w:t>
      </w:r>
      <w:bookmarkStart w:id="27" w:name="_Toc34645075"/>
    </w:p>
    <w:p w14:paraId="52D9D7BD" w14:textId="77777777" w:rsidR="00660B87" w:rsidRDefault="00660B87" w:rsidP="00660B87">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p>
    <w:p w14:paraId="4909E0F0" w14:textId="77777777" w:rsidR="00660B87" w:rsidRDefault="00660B87" w:rsidP="00660B87">
      <w:pPr>
        <w:tabs>
          <w:tab w:val="left" w:pos="360"/>
        </w:tabs>
        <w:autoSpaceDE w:val="0"/>
        <w:autoSpaceDN w:val="0"/>
        <w:adjustRightInd w:val="0"/>
        <w:spacing w:after="0" w:line="240" w:lineRule="auto"/>
        <w:ind w:right="-46"/>
        <w:jc w:val="both"/>
        <w:rPr>
          <w:rFonts w:ascii="Times New Roman" w:eastAsia="Batang" w:hAnsi="Times New Roman" w:cs="Times New Roman"/>
          <w:noProof/>
          <w:sz w:val="24"/>
          <w:szCs w:val="24"/>
          <w:lang w:eastAsia="ko-KR"/>
        </w:rPr>
      </w:pPr>
    </w:p>
    <w:p w14:paraId="1313AB5F" w14:textId="77777777" w:rsidR="009F0F08" w:rsidRDefault="009F0F08" w:rsidP="00046697">
      <w:pPr>
        <w:keepNext/>
        <w:keepLines/>
        <w:spacing w:after="0" w:line="360" w:lineRule="auto"/>
        <w:ind w:right="-45"/>
        <w:jc w:val="center"/>
        <w:outlineLvl w:val="0"/>
        <w:rPr>
          <w:rFonts w:ascii="Cambria" w:eastAsia="Times New Roman" w:hAnsi="Cambria" w:cstheme="majorBidi"/>
          <w:b/>
          <w:noProof/>
          <w:color w:val="C00000"/>
          <w:sz w:val="24"/>
          <w:szCs w:val="32"/>
        </w:rPr>
      </w:pPr>
    </w:p>
    <w:p w14:paraId="0B434A0F" w14:textId="77777777" w:rsidR="009F0F08" w:rsidRDefault="009F0F08" w:rsidP="00046697">
      <w:pPr>
        <w:keepNext/>
        <w:keepLines/>
        <w:spacing w:after="0" w:line="360" w:lineRule="auto"/>
        <w:ind w:right="-45"/>
        <w:jc w:val="center"/>
        <w:outlineLvl w:val="0"/>
        <w:rPr>
          <w:rFonts w:ascii="Cambria" w:eastAsia="Times New Roman" w:hAnsi="Cambria" w:cstheme="majorBidi"/>
          <w:b/>
          <w:noProof/>
          <w:color w:val="C00000"/>
          <w:sz w:val="24"/>
          <w:szCs w:val="32"/>
        </w:rPr>
      </w:pPr>
    </w:p>
    <w:p w14:paraId="7909B271" w14:textId="14A15D88" w:rsidR="00046697" w:rsidRPr="00D713DD" w:rsidRDefault="00046697" w:rsidP="00046697">
      <w:pPr>
        <w:keepNext/>
        <w:keepLines/>
        <w:spacing w:after="0" w:line="360" w:lineRule="auto"/>
        <w:ind w:right="-45"/>
        <w:jc w:val="center"/>
        <w:outlineLvl w:val="0"/>
        <w:rPr>
          <w:rFonts w:ascii="Cambria" w:eastAsia="Times New Roman" w:hAnsi="Cambria" w:cstheme="majorBidi"/>
          <w:b/>
          <w:noProof/>
          <w:color w:val="C00000"/>
          <w:sz w:val="24"/>
          <w:szCs w:val="32"/>
        </w:rPr>
      </w:pPr>
      <w:r w:rsidRPr="00D713DD">
        <w:rPr>
          <w:rFonts w:ascii="Cambria" w:eastAsia="Times New Roman" w:hAnsi="Cambria" w:cstheme="majorBidi"/>
          <w:b/>
          <w:noProof/>
          <w:color w:val="C00000"/>
          <w:sz w:val="24"/>
          <w:szCs w:val="32"/>
        </w:rPr>
        <w:t>ANEKSI II</w:t>
      </w:r>
      <w:bookmarkEnd w:id="27"/>
    </w:p>
    <w:p w14:paraId="040F9702" w14:textId="77777777" w:rsidR="00904748" w:rsidRPr="00D713DD" w:rsidRDefault="00904748" w:rsidP="00904748">
      <w:pPr>
        <w:keepNext/>
        <w:keepLines/>
        <w:spacing w:after="0" w:line="240" w:lineRule="auto"/>
        <w:ind w:right="-45"/>
        <w:jc w:val="center"/>
        <w:outlineLvl w:val="0"/>
        <w:rPr>
          <w:rFonts w:ascii="Cambria" w:eastAsia="Times New Roman" w:hAnsi="Cambria" w:cstheme="majorBidi"/>
          <w:b/>
          <w:noProof/>
          <w:color w:val="C00000"/>
          <w:sz w:val="24"/>
          <w:szCs w:val="32"/>
        </w:rPr>
      </w:pPr>
    </w:p>
    <w:p w14:paraId="3A7A550F" w14:textId="3EA34FF3" w:rsidR="00A604AC" w:rsidRPr="00D713DD" w:rsidRDefault="00046697" w:rsidP="00DC529C">
      <w:pPr>
        <w:keepNext/>
        <w:keepLines/>
        <w:spacing w:after="0" w:line="360" w:lineRule="auto"/>
        <w:ind w:right="-45"/>
        <w:jc w:val="center"/>
        <w:outlineLvl w:val="0"/>
        <w:rPr>
          <w:rFonts w:ascii="Cambria" w:eastAsia="Times New Roman" w:hAnsi="Cambria" w:cstheme="majorBidi"/>
          <w:b/>
          <w:noProof/>
          <w:color w:val="C00000"/>
          <w:sz w:val="24"/>
          <w:szCs w:val="32"/>
        </w:rPr>
      </w:pPr>
      <w:r w:rsidRPr="00D713DD">
        <w:rPr>
          <w:rFonts w:ascii="Cambria" w:eastAsia="Times New Roman" w:hAnsi="Cambria" w:cstheme="majorBidi"/>
          <w:b/>
          <w:noProof/>
          <w:color w:val="C00000"/>
          <w:sz w:val="24"/>
          <w:szCs w:val="32"/>
        </w:rPr>
        <w:t xml:space="preserve"> </w:t>
      </w:r>
      <w:bookmarkStart w:id="28" w:name="_Toc9249216"/>
      <w:bookmarkStart w:id="29" w:name="_Toc34645076"/>
      <w:r w:rsidRPr="00D713DD">
        <w:rPr>
          <w:rFonts w:ascii="Cambria" w:eastAsia="Times New Roman" w:hAnsi="Cambria" w:cstheme="majorBidi"/>
          <w:b/>
          <w:noProof/>
          <w:color w:val="C00000"/>
          <w:sz w:val="24"/>
          <w:szCs w:val="32"/>
        </w:rPr>
        <w:t>TË DHËNA SHTESË</w:t>
      </w:r>
      <w:bookmarkEnd w:id="28"/>
      <w:bookmarkEnd w:id="29"/>
      <w:r w:rsidRPr="00D713DD">
        <w:rPr>
          <w:rFonts w:ascii="Cambria" w:eastAsia="Times New Roman" w:hAnsi="Cambria" w:cstheme="majorBidi"/>
          <w:b/>
          <w:noProof/>
          <w:color w:val="C00000"/>
          <w:sz w:val="24"/>
          <w:szCs w:val="32"/>
        </w:rPr>
        <w:t xml:space="preserve"> </w:t>
      </w:r>
    </w:p>
    <w:p w14:paraId="021E05AE" w14:textId="77777777" w:rsidR="00046697" w:rsidRPr="00D713DD" w:rsidRDefault="00046697" w:rsidP="00046697">
      <w:pPr>
        <w:numPr>
          <w:ilvl w:val="0"/>
          <w:numId w:val="6"/>
        </w:numPr>
        <w:spacing w:after="0" w:line="240" w:lineRule="auto"/>
        <w:ind w:left="567" w:right="-46" w:hanging="567"/>
        <w:contextualSpacing/>
        <w:rPr>
          <w:rFonts w:ascii="Cambria" w:hAnsi="Cambria" w:cs="Times New Roman"/>
          <w:b/>
          <w:sz w:val="24"/>
          <w:szCs w:val="24"/>
        </w:rPr>
      </w:pPr>
      <w:r w:rsidRPr="00D713DD">
        <w:rPr>
          <w:rFonts w:ascii="Cambria" w:eastAsia="Times New Roman" w:hAnsi="Cambria"/>
          <w:b/>
          <w:noProof/>
        </w:rPr>
        <w:t>STOKU I BORXHIT PUBLIK DHE QEVERISJES QENDORE</w:t>
      </w:r>
    </w:p>
    <w:p w14:paraId="54CCA6E5" w14:textId="77777777" w:rsidR="00046697" w:rsidRPr="00D713DD" w:rsidRDefault="00046697" w:rsidP="00046697">
      <w:pPr>
        <w:spacing w:after="0" w:line="240" w:lineRule="auto"/>
        <w:ind w:left="567" w:right="-46"/>
        <w:contextualSpacing/>
        <w:rPr>
          <w:rFonts w:ascii="Cambria" w:hAnsi="Cambria" w:cs="Times New Roman"/>
          <w:b/>
          <w:sz w:val="32"/>
          <w:szCs w:val="24"/>
        </w:rPr>
      </w:pPr>
    </w:p>
    <w:p w14:paraId="740331B4" w14:textId="55823307" w:rsidR="006D7FB5" w:rsidRDefault="00046697" w:rsidP="006D7FB5">
      <w:pPr>
        <w:spacing w:after="0" w:line="240" w:lineRule="auto"/>
        <w:ind w:right="-46"/>
        <w:jc w:val="both"/>
        <w:rPr>
          <w:rFonts w:cstheme="minorHAnsi"/>
          <w:noProof/>
          <w:sz w:val="14"/>
          <w:szCs w:val="16"/>
        </w:rPr>
      </w:pPr>
      <w:r w:rsidRPr="00D713DD">
        <w:rPr>
          <w:rFonts w:ascii="Cambria" w:hAnsi="Cambria"/>
          <w:b/>
          <w:sz w:val="20"/>
          <w:szCs w:val="20"/>
        </w:rPr>
        <w:t xml:space="preserve">Tabela 1.0: </w:t>
      </w:r>
      <w:r w:rsidRPr="00D713DD">
        <w:rPr>
          <w:rFonts w:ascii="Cambria" w:hAnsi="Cambria"/>
          <w:i/>
          <w:sz w:val="20"/>
          <w:szCs w:val="20"/>
        </w:rPr>
        <w:t xml:space="preserve">Stoku i </w:t>
      </w:r>
      <w:r w:rsidR="008A5B01" w:rsidRPr="00D713DD">
        <w:rPr>
          <w:rFonts w:ascii="Cambria" w:hAnsi="Cambria"/>
          <w:i/>
          <w:sz w:val="20"/>
          <w:szCs w:val="20"/>
        </w:rPr>
        <w:t>b</w:t>
      </w:r>
      <w:r w:rsidRPr="00D713DD">
        <w:rPr>
          <w:rFonts w:ascii="Cambria" w:hAnsi="Cambria"/>
          <w:i/>
          <w:sz w:val="20"/>
          <w:szCs w:val="20"/>
        </w:rPr>
        <w:t xml:space="preserve">orxhit </w:t>
      </w:r>
      <w:r w:rsidR="008A5B01" w:rsidRPr="00D713DD">
        <w:rPr>
          <w:rFonts w:ascii="Cambria" w:hAnsi="Cambria"/>
          <w:i/>
          <w:sz w:val="20"/>
          <w:szCs w:val="20"/>
        </w:rPr>
        <w:t>p</w:t>
      </w:r>
      <w:r w:rsidRPr="00D713DD">
        <w:rPr>
          <w:rFonts w:ascii="Cambria" w:hAnsi="Cambria"/>
          <w:i/>
          <w:sz w:val="20"/>
          <w:szCs w:val="20"/>
        </w:rPr>
        <w:t xml:space="preserve">ublik </w:t>
      </w:r>
      <w:r w:rsidR="001B0EEC" w:rsidRPr="00D713DD">
        <w:rPr>
          <w:rFonts w:ascii="Cambria" w:hAnsi="Cambria"/>
          <w:i/>
          <w:sz w:val="20"/>
          <w:szCs w:val="20"/>
        </w:rPr>
        <w:t>(</w:t>
      </w:r>
      <w:r w:rsidR="002F7DA6" w:rsidRPr="00D713DD">
        <w:rPr>
          <w:rFonts w:ascii="Cambria" w:hAnsi="Cambria"/>
          <w:i/>
          <w:sz w:val="20"/>
          <w:szCs w:val="20"/>
        </w:rPr>
        <w:t>2017</w:t>
      </w:r>
      <w:r w:rsidR="008A5B01" w:rsidRPr="00D713DD">
        <w:rPr>
          <w:rFonts w:ascii="Cambria" w:hAnsi="Cambria"/>
          <w:i/>
          <w:sz w:val="20"/>
          <w:szCs w:val="20"/>
        </w:rPr>
        <w:t>-</w:t>
      </w:r>
      <w:r w:rsidR="00084A95" w:rsidRPr="00D713DD">
        <w:rPr>
          <w:rFonts w:ascii="Cambria" w:hAnsi="Cambria"/>
          <w:i/>
          <w:sz w:val="20"/>
          <w:szCs w:val="20"/>
        </w:rPr>
        <w:t xml:space="preserve"> 202</w:t>
      </w:r>
      <w:r w:rsidR="002F7DA6" w:rsidRPr="00D713DD">
        <w:rPr>
          <w:rFonts w:ascii="Cambria" w:hAnsi="Cambria"/>
          <w:i/>
          <w:sz w:val="20"/>
          <w:szCs w:val="20"/>
        </w:rPr>
        <w:t>2</w:t>
      </w:r>
      <w:r w:rsidR="001B0EEC" w:rsidRPr="00D713DD">
        <w:rPr>
          <w:rFonts w:ascii="Cambria" w:hAnsi="Cambria"/>
          <w:i/>
          <w:sz w:val="20"/>
          <w:szCs w:val="20"/>
        </w:rPr>
        <w:t>)</w:t>
      </w:r>
      <w:r w:rsidR="008C4584" w:rsidRPr="00D713DD">
        <w:rPr>
          <w:rFonts w:ascii="Cambria" w:hAnsi="Cambria"/>
          <w:i/>
          <w:sz w:val="20"/>
          <w:szCs w:val="20"/>
        </w:rPr>
        <w:t xml:space="preserve">                                         </w:t>
      </w:r>
      <w:r w:rsidR="002C4052" w:rsidRPr="00D713DD">
        <w:rPr>
          <w:rFonts w:ascii="Cambria" w:hAnsi="Cambria"/>
          <w:i/>
          <w:sz w:val="20"/>
          <w:szCs w:val="20"/>
        </w:rPr>
        <w:t xml:space="preserve">                         </w:t>
      </w:r>
      <w:r w:rsidR="006D7FB5">
        <w:rPr>
          <w:rFonts w:ascii="Cambria" w:hAnsi="Cambria"/>
          <w:i/>
          <w:sz w:val="20"/>
          <w:szCs w:val="20"/>
        </w:rPr>
        <w:t xml:space="preserve">           </w:t>
      </w:r>
      <w:r w:rsidR="002C4052" w:rsidRPr="00D713DD">
        <w:rPr>
          <w:rFonts w:ascii="Cambria" w:hAnsi="Cambria"/>
          <w:i/>
          <w:sz w:val="20"/>
          <w:szCs w:val="20"/>
        </w:rPr>
        <w:t xml:space="preserve">    </w:t>
      </w:r>
      <w:r w:rsidR="00133ADD">
        <w:rPr>
          <w:rFonts w:ascii="Cambria" w:hAnsi="Cambria"/>
          <w:i/>
          <w:sz w:val="20"/>
          <w:szCs w:val="20"/>
        </w:rPr>
        <w:t xml:space="preserve">   </w:t>
      </w:r>
      <w:r w:rsidR="00084A95" w:rsidRPr="00D713DD">
        <w:rPr>
          <w:rFonts w:ascii="Cambria" w:hAnsi="Cambria"/>
          <w:i/>
          <w:sz w:val="20"/>
          <w:szCs w:val="20"/>
        </w:rPr>
        <w:t xml:space="preserve"> </w:t>
      </w:r>
      <w:r w:rsidRPr="00D713DD">
        <w:rPr>
          <w:rFonts w:ascii="Cambria" w:hAnsi="Cambria"/>
          <w:i/>
          <w:sz w:val="20"/>
          <w:szCs w:val="20"/>
        </w:rPr>
        <w:t>(në milion Lek</w:t>
      </w:r>
      <w:r w:rsidR="004C7713" w:rsidRPr="00D713DD">
        <w:rPr>
          <w:rFonts w:ascii="Cambria" w:hAnsi="Cambria"/>
          <w:i/>
          <w:sz w:val="20"/>
          <w:szCs w:val="20"/>
        </w:rPr>
        <w:t>ë</w:t>
      </w:r>
      <w:r w:rsidRPr="00D713DD">
        <w:rPr>
          <w:rFonts w:ascii="Cambria" w:hAnsi="Cambria"/>
          <w:i/>
          <w:sz w:val="20"/>
          <w:szCs w:val="20"/>
        </w:rPr>
        <w:t>)</w:t>
      </w:r>
      <w:r w:rsidR="006D7FB5">
        <w:rPr>
          <w:rFonts w:cstheme="minorHAnsi"/>
          <w:noProof/>
          <w:sz w:val="14"/>
          <w:szCs w:val="16"/>
        </w:rPr>
        <w:t xml:space="preserve"> </w:t>
      </w:r>
    </w:p>
    <w:p w14:paraId="4139241B" w14:textId="6D0E2AC7" w:rsidR="003623B8" w:rsidRDefault="006D7FB5" w:rsidP="003623B8">
      <w:pPr>
        <w:spacing w:after="0" w:line="240" w:lineRule="auto"/>
        <w:ind w:right="-46"/>
        <w:jc w:val="both"/>
        <w:rPr>
          <w:rFonts w:cstheme="minorHAnsi"/>
          <w:noProof/>
          <w:sz w:val="14"/>
          <w:szCs w:val="16"/>
        </w:rPr>
      </w:pPr>
      <w:r w:rsidRPr="006D7FB5">
        <w:rPr>
          <w:noProof/>
          <w:lang w:val="en-US"/>
        </w:rPr>
        <w:drawing>
          <wp:inline distT="0" distB="0" distL="0" distR="0" wp14:anchorId="03C83AC1" wp14:editId="3A439708">
            <wp:extent cx="5826868" cy="105029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2148" cy="1054847"/>
                    </a:xfrm>
                    <a:prstGeom prst="rect">
                      <a:avLst/>
                    </a:prstGeom>
                    <a:noFill/>
                    <a:ln>
                      <a:noFill/>
                    </a:ln>
                  </pic:spPr>
                </pic:pic>
              </a:graphicData>
            </a:graphic>
          </wp:inline>
        </w:drawing>
      </w:r>
    </w:p>
    <w:p w14:paraId="51EE36E3" w14:textId="77777777" w:rsidR="003623B8" w:rsidRDefault="003623B8" w:rsidP="003623B8">
      <w:pPr>
        <w:spacing w:after="0" w:line="240" w:lineRule="auto"/>
        <w:ind w:right="-46"/>
        <w:jc w:val="both"/>
        <w:rPr>
          <w:rFonts w:ascii="Cambria" w:eastAsia="Times New Roman" w:hAnsi="Cambria"/>
          <w:b/>
          <w:sz w:val="20"/>
          <w:szCs w:val="20"/>
        </w:rPr>
      </w:pPr>
    </w:p>
    <w:p w14:paraId="5478BEC6" w14:textId="01C3F45D" w:rsidR="002C4052" w:rsidRPr="00D713DD" w:rsidRDefault="004B419B" w:rsidP="003623B8">
      <w:pPr>
        <w:spacing w:after="0" w:line="240" w:lineRule="auto"/>
        <w:ind w:right="-46"/>
        <w:jc w:val="both"/>
        <w:rPr>
          <w:rFonts w:ascii="Cambria" w:eastAsia="Times New Roman" w:hAnsi="Cambria"/>
          <w:i/>
          <w:sz w:val="20"/>
          <w:szCs w:val="20"/>
        </w:rPr>
      </w:pPr>
      <w:r w:rsidRPr="00D713DD">
        <w:rPr>
          <w:rFonts w:ascii="Cambria" w:eastAsia="Times New Roman" w:hAnsi="Cambria"/>
          <w:b/>
          <w:sz w:val="20"/>
          <w:szCs w:val="20"/>
        </w:rPr>
        <w:t>Tabela 1.1</w:t>
      </w:r>
      <w:r w:rsidR="00046697" w:rsidRPr="00D713DD">
        <w:rPr>
          <w:rFonts w:ascii="Cambria" w:eastAsia="Times New Roman" w:hAnsi="Cambria"/>
          <w:b/>
          <w:sz w:val="20"/>
          <w:szCs w:val="20"/>
        </w:rPr>
        <w:t xml:space="preserve">: </w:t>
      </w:r>
      <w:r w:rsidR="00B15B9D" w:rsidRPr="00D713DD">
        <w:rPr>
          <w:rFonts w:ascii="Cambria" w:eastAsia="Times New Roman" w:hAnsi="Cambria"/>
          <w:i/>
          <w:sz w:val="20"/>
          <w:szCs w:val="20"/>
        </w:rPr>
        <w:t>Stoku i b</w:t>
      </w:r>
      <w:r w:rsidR="00046697" w:rsidRPr="00D713DD">
        <w:rPr>
          <w:rFonts w:ascii="Cambria" w:eastAsia="Times New Roman" w:hAnsi="Cambria"/>
          <w:i/>
          <w:sz w:val="20"/>
          <w:szCs w:val="20"/>
        </w:rPr>
        <w:t xml:space="preserve">orxhit të </w:t>
      </w:r>
      <w:r w:rsidR="008A5B01" w:rsidRPr="00D713DD">
        <w:rPr>
          <w:rFonts w:ascii="Cambria" w:eastAsia="Times New Roman" w:hAnsi="Cambria"/>
          <w:i/>
          <w:sz w:val="20"/>
          <w:szCs w:val="20"/>
        </w:rPr>
        <w:t>q</w:t>
      </w:r>
      <w:r w:rsidR="00046697" w:rsidRPr="00D713DD">
        <w:rPr>
          <w:rFonts w:ascii="Cambria" w:eastAsia="Times New Roman" w:hAnsi="Cambria"/>
          <w:i/>
          <w:sz w:val="20"/>
          <w:szCs w:val="20"/>
        </w:rPr>
        <w:t xml:space="preserve">everisjes </w:t>
      </w:r>
      <w:r w:rsidR="008A5B01" w:rsidRPr="00D713DD">
        <w:rPr>
          <w:rFonts w:ascii="Cambria" w:eastAsia="Times New Roman" w:hAnsi="Cambria"/>
          <w:i/>
          <w:sz w:val="20"/>
          <w:szCs w:val="20"/>
        </w:rPr>
        <w:t>q</w:t>
      </w:r>
      <w:r w:rsidR="00046697" w:rsidRPr="00D713DD">
        <w:rPr>
          <w:rFonts w:ascii="Cambria" w:eastAsia="Times New Roman" w:hAnsi="Cambria"/>
          <w:i/>
          <w:sz w:val="20"/>
          <w:szCs w:val="20"/>
        </w:rPr>
        <w:t xml:space="preserve">endrore </w:t>
      </w:r>
      <w:r w:rsidR="001B0EEC" w:rsidRPr="00D713DD">
        <w:rPr>
          <w:rFonts w:ascii="Cambria" w:eastAsia="Times New Roman" w:hAnsi="Cambria"/>
          <w:i/>
          <w:sz w:val="20"/>
          <w:szCs w:val="20"/>
        </w:rPr>
        <w:t>(</w:t>
      </w:r>
      <w:r w:rsidR="002F7DA6" w:rsidRPr="00D713DD">
        <w:rPr>
          <w:rFonts w:ascii="Cambria" w:hAnsi="Cambria"/>
          <w:i/>
          <w:sz w:val="20"/>
          <w:szCs w:val="20"/>
        </w:rPr>
        <w:t>2017</w:t>
      </w:r>
      <w:r w:rsidR="002C4052" w:rsidRPr="00D713DD">
        <w:rPr>
          <w:rFonts w:ascii="Cambria" w:hAnsi="Cambria"/>
          <w:i/>
          <w:sz w:val="20"/>
          <w:szCs w:val="20"/>
        </w:rPr>
        <w:t>-</w:t>
      </w:r>
      <w:r w:rsidR="00084A95" w:rsidRPr="00D713DD">
        <w:rPr>
          <w:rFonts w:ascii="Cambria" w:hAnsi="Cambria"/>
          <w:i/>
          <w:sz w:val="20"/>
          <w:szCs w:val="20"/>
        </w:rPr>
        <w:t xml:space="preserve"> 202</w:t>
      </w:r>
      <w:r w:rsidR="002F7DA6" w:rsidRPr="00D713DD">
        <w:rPr>
          <w:rFonts w:ascii="Cambria" w:hAnsi="Cambria"/>
          <w:i/>
          <w:sz w:val="20"/>
          <w:szCs w:val="20"/>
        </w:rPr>
        <w:t>2</w:t>
      </w:r>
      <w:r w:rsidR="001B0EEC" w:rsidRPr="00D713DD">
        <w:rPr>
          <w:rFonts w:ascii="Cambria" w:hAnsi="Cambria"/>
          <w:i/>
          <w:sz w:val="20"/>
          <w:szCs w:val="20"/>
        </w:rPr>
        <w:t>)</w:t>
      </w:r>
      <w:r w:rsidR="008C4584" w:rsidRPr="00D713DD">
        <w:rPr>
          <w:rFonts w:ascii="Cambria" w:eastAsia="Times New Roman" w:hAnsi="Cambria"/>
          <w:i/>
          <w:sz w:val="20"/>
          <w:szCs w:val="20"/>
        </w:rPr>
        <w:t xml:space="preserve">                       </w:t>
      </w:r>
      <w:r w:rsidR="008A5B01" w:rsidRPr="00D713DD">
        <w:rPr>
          <w:rFonts w:ascii="Cambria" w:eastAsia="Times New Roman" w:hAnsi="Cambria"/>
          <w:i/>
          <w:sz w:val="20"/>
          <w:szCs w:val="20"/>
        </w:rPr>
        <w:t xml:space="preserve">            </w:t>
      </w:r>
      <w:r w:rsidR="002C4052" w:rsidRPr="00D713DD">
        <w:rPr>
          <w:rFonts w:ascii="Cambria" w:eastAsia="Times New Roman" w:hAnsi="Cambria"/>
          <w:i/>
          <w:sz w:val="20"/>
          <w:szCs w:val="20"/>
        </w:rPr>
        <w:t xml:space="preserve">  </w:t>
      </w:r>
      <w:r w:rsidR="006D7FB5">
        <w:rPr>
          <w:rFonts w:ascii="Cambria" w:eastAsia="Times New Roman" w:hAnsi="Cambria"/>
          <w:i/>
          <w:sz w:val="20"/>
          <w:szCs w:val="20"/>
        </w:rPr>
        <w:t xml:space="preserve">            </w:t>
      </w:r>
      <w:r w:rsidR="001B0EEC" w:rsidRPr="00D713DD">
        <w:rPr>
          <w:rFonts w:ascii="Cambria" w:eastAsia="Times New Roman" w:hAnsi="Cambria"/>
          <w:i/>
          <w:sz w:val="20"/>
          <w:szCs w:val="20"/>
        </w:rPr>
        <w:t xml:space="preserve">  </w:t>
      </w:r>
      <w:r w:rsidR="00133ADD">
        <w:rPr>
          <w:rFonts w:ascii="Cambria" w:eastAsia="Times New Roman" w:hAnsi="Cambria"/>
          <w:i/>
          <w:sz w:val="20"/>
          <w:szCs w:val="20"/>
        </w:rPr>
        <w:t xml:space="preserve">    </w:t>
      </w:r>
      <w:r w:rsidR="008A5B01" w:rsidRPr="00D713DD">
        <w:rPr>
          <w:rFonts w:ascii="Cambria" w:eastAsia="Times New Roman" w:hAnsi="Cambria"/>
          <w:i/>
          <w:sz w:val="20"/>
          <w:szCs w:val="20"/>
        </w:rPr>
        <w:t xml:space="preserve"> </w:t>
      </w:r>
      <w:r w:rsidR="00046697" w:rsidRPr="00D713DD">
        <w:rPr>
          <w:rFonts w:ascii="Cambria" w:eastAsia="Times New Roman" w:hAnsi="Cambria"/>
          <w:i/>
          <w:sz w:val="20"/>
          <w:szCs w:val="20"/>
        </w:rPr>
        <w:t>(në milion Lek</w:t>
      </w:r>
      <w:r w:rsidR="003F5D3F" w:rsidRPr="00D713DD">
        <w:rPr>
          <w:rFonts w:ascii="Cambria" w:eastAsia="Times New Roman" w:hAnsi="Cambria"/>
          <w:i/>
          <w:sz w:val="20"/>
          <w:szCs w:val="20"/>
        </w:rPr>
        <w:t>ë</w:t>
      </w:r>
      <w:r w:rsidR="00046697" w:rsidRPr="00D713DD">
        <w:rPr>
          <w:rFonts w:ascii="Cambria" w:eastAsia="Times New Roman" w:hAnsi="Cambria"/>
          <w:i/>
          <w:sz w:val="20"/>
          <w:szCs w:val="20"/>
        </w:rPr>
        <w:t>)</w:t>
      </w:r>
      <w:r w:rsidR="002C4052" w:rsidRPr="00D713DD">
        <w:fldChar w:fldCharType="begin"/>
      </w:r>
      <w:r w:rsidR="002C4052" w:rsidRPr="00D713DD">
        <w:instrText xml:space="preserve"> LINK Excel.Sheet.12 "C:\\Users\\sidiola.basho\\Desktop\\Analiza 6M 2022\\Draft Grafiket per analizen SAMB 2022-2024 21.06.2022.xlsx" "Stoku i Borxhit!R73C1:R76C9" \a \f 4 \h  \* MERGEFORMAT </w:instrText>
      </w:r>
      <w:r w:rsidR="002C4052" w:rsidRPr="00D713DD">
        <w:fldChar w:fldCharType="separate"/>
      </w:r>
    </w:p>
    <w:p w14:paraId="222D36CF" w14:textId="7A172F5B" w:rsidR="00A604AC" w:rsidRPr="00D713DD" w:rsidRDefault="002C4052" w:rsidP="002F7DA6">
      <w:pPr>
        <w:spacing w:after="0" w:line="240" w:lineRule="auto"/>
        <w:ind w:right="-46"/>
        <w:contextualSpacing/>
        <w:rPr>
          <w:rFonts w:ascii="Cambria" w:hAnsi="Cambria" w:cs="Times New Roman"/>
          <w:b/>
          <w:sz w:val="32"/>
          <w:szCs w:val="24"/>
        </w:rPr>
      </w:pPr>
      <w:r w:rsidRPr="00D713DD">
        <w:rPr>
          <w:rFonts w:ascii="Cambria" w:hAnsi="Cambria" w:cs="Times New Roman"/>
          <w:b/>
          <w:sz w:val="32"/>
          <w:szCs w:val="24"/>
        </w:rPr>
        <w:fldChar w:fldCharType="end"/>
      </w:r>
      <w:r w:rsidR="006D7FB5" w:rsidRPr="006D7FB5">
        <w:rPr>
          <w:rFonts w:ascii="Cambria" w:hAnsi="Cambria" w:cs="Times New Roman"/>
          <w:b/>
          <w:sz w:val="32"/>
          <w:szCs w:val="24"/>
        </w:rPr>
        <w:t xml:space="preserve"> </w:t>
      </w:r>
      <w:r w:rsidR="006D7FB5" w:rsidRPr="006D7FB5">
        <w:rPr>
          <w:noProof/>
          <w:lang w:val="en-US"/>
        </w:rPr>
        <w:drawing>
          <wp:inline distT="0" distB="0" distL="0" distR="0" wp14:anchorId="0AC4981C" wp14:editId="41FDA023">
            <wp:extent cx="5775356" cy="6517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5849" cy="683408"/>
                    </a:xfrm>
                    <a:prstGeom prst="rect">
                      <a:avLst/>
                    </a:prstGeom>
                    <a:noFill/>
                    <a:ln>
                      <a:noFill/>
                    </a:ln>
                  </pic:spPr>
                </pic:pic>
              </a:graphicData>
            </a:graphic>
          </wp:inline>
        </w:drawing>
      </w:r>
    </w:p>
    <w:p w14:paraId="6DFE0BC9" w14:textId="77777777" w:rsidR="00D713DD" w:rsidRDefault="00D713DD" w:rsidP="00046697">
      <w:pPr>
        <w:spacing w:after="0" w:line="240" w:lineRule="auto"/>
        <w:ind w:right="-46"/>
        <w:rPr>
          <w:rFonts w:ascii="Cambria" w:hAnsi="Cambria"/>
          <w:b/>
          <w:sz w:val="20"/>
          <w:szCs w:val="20"/>
        </w:rPr>
      </w:pPr>
    </w:p>
    <w:p w14:paraId="6EDA2471" w14:textId="25E09FEB" w:rsidR="002C4052" w:rsidRPr="00D713DD" w:rsidRDefault="004B419B" w:rsidP="00046697">
      <w:pPr>
        <w:spacing w:after="0" w:line="240" w:lineRule="auto"/>
        <w:ind w:right="-46"/>
        <w:rPr>
          <w:rFonts w:ascii="Cambria" w:eastAsia="Times New Roman" w:hAnsi="Cambria"/>
          <w:i/>
          <w:sz w:val="20"/>
          <w:szCs w:val="20"/>
        </w:rPr>
      </w:pPr>
      <w:r w:rsidRPr="00D713DD">
        <w:rPr>
          <w:rFonts w:ascii="Cambria" w:hAnsi="Cambria"/>
          <w:b/>
          <w:sz w:val="20"/>
          <w:szCs w:val="20"/>
        </w:rPr>
        <w:t>Tabela 1.2</w:t>
      </w:r>
      <w:r w:rsidR="00046697" w:rsidRPr="00D713DD">
        <w:rPr>
          <w:rFonts w:ascii="Cambria" w:hAnsi="Cambria"/>
          <w:b/>
          <w:sz w:val="20"/>
          <w:szCs w:val="20"/>
        </w:rPr>
        <w:t xml:space="preserve">: </w:t>
      </w:r>
      <w:r w:rsidR="00B15B9D" w:rsidRPr="00D713DD">
        <w:rPr>
          <w:rFonts w:ascii="Cambria" w:eastAsia="Times New Roman" w:hAnsi="Cambria"/>
          <w:i/>
          <w:sz w:val="20"/>
          <w:szCs w:val="20"/>
        </w:rPr>
        <w:t>Stoku i b</w:t>
      </w:r>
      <w:r w:rsidR="008A5B01" w:rsidRPr="00D713DD">
        <w:rPr>
          <w:rFonts w:ascii="Cambria" w:eastAsia="Times New Roman" w:hAnsi="Cambria"/>
          <w:i/>
          <w:sz w:val="20"/>
          <w:szCs w:val="20"/>
        </w:rPr>
        <w:t xml:space="preserve">orxhit të qeverisjes qendrore </w:t>
      </w:r>
      <w:r w:rsidR="001B0EEC" w:rsidRPr="00D713DD">
        <w:rPr>
          <w:rFonts w:ascii="Cambria" w:eastAsia="Times New Roman" w:hAnsi="Cambria"/>
          <w:i/>
          <w:sz w:val="20"/>
          <w:szCs w:val="20"/>
        </w:rPr>
        <w:t>(</w:t>
      </w:r>
      <w:r w:rsidR="002F7DA6" w:rsidRPr="00D713DD">
        <w:rPr>
          <w:rFonts w:ascii="Cambria" w:eastAsia="Times New Roman" w:hAnsi="Cambria"/>
          <w:i/>
          <w:sz w:val="20"/>
          <w:szCs w:val="20"/>
        </w:rPr>
        <w:t>2017</w:t>
      </w:r>
      <w:r w:rsidR="002C4052" w:rsidRPr="00D713DD">
        <w:rPr>
          <w:rFonts w:ascii="Cambria" w:eastAsia="Times New Roman" w:hAnsi="Cambria"/>
          <w:i/>
          <w:sz w:val="20"/>
          <w:szCs w:val="20"/>
        </w:rPr>
        <w:t>-</w:t>
      </w:r>
      <w:r w:rsidR="003623B8">
        <w:rPr>
          <w:rFonts w:ascii="Cambria" w:eastAsia="Times New Roman" w:hAnsi="Cambria"/>
          <w:i/>
          <w:sz w:val="20"/>
          <w:szCs w:val="20"/>
        </w:rPr>
        <w:t xml:space="preserve"> </w:t>
      </w:r>
      <w:r w:rsidR="00265124" w:rsidRPr="00D713DD">
        <w:rPr>
          <w:rFonts w:ascii="Cambria" w:eastAsia="Times New Roman" w:hAnsi="Cambria"/>
          <w:i/>
          <w:sz w:val="20"/>
          <w:szCs w:val="20"/>
        </w:rPr>
        <w:t>202</w:t>
      </w:r>
      <w:r w:rsidR="002F7DA6" w:rsidRPr="00D713DD">
        <w:rPr>
          <w:rFonts w:ascii="Cambria" w:eastAsia="Times New Roman" w:hAnsi="Cambria"/>
          <w:i/>
          <w:sz w:val="20"/>
          <w:szCs w:val="20"/>
        </w:rPr>
        <w:t>2</w:t>
      </w:r>
      <w:r w:rsidR="001B0EEC" w:rsidRPr="00D713DD">
        <w:rPr>
          <w:rFonts w:ascii="Cambria" w:eastAsia="Times New Roman" w:hAnsi="Cambria"/>
          <w:i/>
          <w:sz w:val="20"/>
          <w:szCs w:val="20"/>
        </w:rPr>
        <w:t>)</w:t>
      </w:r>
      <w:r w:rsidR="008A5B01" w:rsidRPr="00D713DD">
        <w:rPr>
          <w:rFonts w:ascii="Cambria" w:eastAsia="Times New Roman" w:hAnsi="Cambria"/>
          <w:i/>
          <w:sz w:val="20"/>
          <w:szCs w:val="20"/>
        </w:rPr>
        <w:t xml:space="preserve">      </w:t>
      </w:r>
      <w:r w:rsidR="006D7FB5">
        <w:rPr>
          <w:rFonts w:ascii="Cambria" w:eastAsia="Times New Roman" w:hAnsi="Cambria"/>
          <w:i/>
          <w:sz w:val="20"/>
          <w:szCs w:val="20"/>
        </w:rPr>
        <w:t xml:space="preserve">             </w:t>
      </w:r>
      <w:r w:rsidR="008A5B01" w:rsidRPr="00D713DD">
        <w:rPr>
          <w:rFonts w:ascii="Cambria" w:eastAsia="Times New Roman" w:hAnsi="Cambria"/>
          <w:i/>
          <w:sz w:val="20"/>
          <w:szCs w:val="20"/>
        </w:rPr>
        <w:t xml:space="preserve">           </w:t>
      </w:r>
      <w:r w:rsidR="002C4052" w:rsidRPr="00D713DD">
        <w:rPr>
          <w:rFonts w:ascii="Cambria" w:eastAsia="Times New Roman" w:hAnsi="Cambria"/>
          <w:i/>
          <w:sz w:val="20"/>
          <w:szCs w:val="20"/>
        </w:rPr>
        <w:t xml:space="preserve">              </w:t>
      </w:r>
      <w:r w:rsidR="00265124" w:rsidRPr="00D713DD">
        <w:rPr>
          <w:rFonts w:ascii="Cambria" w:eastAsia="Times New Roman" w:hAnsi="Cambria"/>
          <w:i/>
          <w:sz w:val="20"/>
          <w:szCs w:val="20"/>
        </w:rPr>
        <w:t xml:space="preserve">        </w:t>
      </w:r>
      <w:r w:rsidR="008A5B01" w:rsidRPr="00D713DD">
        <w:rPr>
          <w:rFonts w:ascii="Cambria" w:eastAsia="Times New Roman" w:hAnsi="Cambria"/>
          <w:i/>
          <w:sz w:val="20"/>
          <w:szCs w:val="20"/>
        </w:rPr>
        <w:t>(në milion Lekë)</w:t>
      </w:r>
      <w:r w:rsidR="002C4052" w:rsidRPr="00D713DD">
        <w:fldChar w:fldCharType="begin"/>
      </w:r>
      <w:r w:rsidR="002C4052" w:rsidRPr="00D713DD">
        <w:instrText xml:space="preserve"> LINK Excel.Sheet.12 "C:\\Users\\sidiola.basho\\Desktop\\Analiza 6M 2022\\Draft Grafiket per analizen SAMB 2022-2024 21.06.2022.xlsx" "Stoku i Borxhit!R79C1:R82C9" \a \f 4 \h  \* MERGEFORMAT </w:instrText>
      </w:r>
      <w:r w:rsidR="002C4052" w:rsidRPr="00D713DD">
        <w:fldChar w:fldCharType="separate"/>
      </w:r>
    </w:p>
    <w:p w14:paraId="3DFD5E13" w14:textId="31761976" w:rsidR="002C4052" w:rsidRPr="00D713DD" w:rsidRDefault="002C4052" w:rsidP="00046697">
      <w:pPr>
        <w:spacing w:after="0" w:line="240" w:lineRule="auto"/>
        <w:ind w:right="-46"/>
        <w:rPr>
          <w:rFonts w:ascii="Cambria" w:eastAsia="Times New Roman" w:hAnsi="Cambria"/>
          <w:i/>
          <w:sz w:val="20"/>
          <w:szCs w:val="20"/>
        </w:rPr>
      </w:pPr>
      <w:r w:rsidRPr="00D713DD">
        <w:rPr>
          <w:rFonts w:ascii="Cambria" w:eastAsia="Times New Roman" w:hAnsi="Cambria"/>
          <w:i/>
          <w:sz w:val="20"/>
          <w:szCs w:val="20"/>
        </w:rPr>
        <w:fldChar w:fldCharType="end"/>
      </w:r>
      <w:r w:rsidR="006D7FB5" w:rsidRPr="006D7FB5">
        <w:rPr>
          <w:rFonts w:ascii="Cambria" w:eastAsia="Times New Roman" w:hAnsi="Cambria"/>
          <w:i/>
          <w:sz w:val="20"/>
          <w:szCs w:val="20"/>
        </w:rPr>
        <w:t xml:space="preserve"> </w:t>
      </w:r>
      <w:r w:rsidR="006D7FB5" w:rsidRPr="006D7FB5">
        <w:rPr>
          <w:noProof/>
          <w:lang w:val="en-US"/>
        </w:rPr>
        <w:drawing>
          <wp:inline distT="0" distB="0" distL="0" distR="0" wp14:anchorId="232C7943" wp14:editId="4F9D6052">
            <wp:extent cx="5796915" cy="72957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23226" cy="745471"/>
                    </a:xfrm>
                    <a:prstGeom prst="rect">
                      <a:avLst/>
                    </a:prstGeom>
                    <a:noFill/>
                    <a:ln>
                      <a:noFill/>
                    </a:ln>
                  </pic:spPr>
                </pic:pic>
              </a:graphicData>
            </a:graphic>
          </wp:inline>
        </w:drawing>
      </w:r>
    </w:p>
    <w:p w14:paraId="73031494" w14:textId="77777777" w:rsidR="00C006C8" w:rsidRDefault="00C006C8" w:rsidP="00046697">
      <w:pPr>
        <w:spacing w:after="0" w:line="240" w:lineRule="auto"/>
        <w:rPr>
          <w:rFonts w:ascii="Cambria" w:hAnsi="Cambria"/>
          <w:i/>
          <w:sz w:val="20"/>
          <w:szCs w:val="20"/>
        </w:rPr>
      </w:pPr>
    </w:p>
    <w:p w14:paraId="6566F8B3" w14:textId="77777777" w:rsidR="00AF7DA5" w:rsidRPr="00D713DD" w:rsidRDefault="00AF7DA5" w:rsidP="00394AD4">
      <w:pPr>
        <w:spacing w:after="0" w:line="240" w:lineRule="auto"/>
        <w:ind w:right="-46"/>
        <w:rPr>
          <w:rFonts w:ascii="Cambria" w:eastAsia="Times New Roman" w:hAnsi="Cambria"/>
          <w:b/>
          <w:noProof/>
          <w:sz w:val="24"/>
        </w:rPr>
      </w:pPr>
    </w:p>
    <w:p w14:paraId="3A5FE2D7" w14:textId="77777777" w:rsidR="00046697" w:rsidRPr="00D713DD" w:rsidRDefault="00FB2667" w:rsidP="00046697">
      <w:pPr>
        <w:pStyle w:val="ListParagraph"/>
        <w:numPr>
          <w:ilvl w:val="0"/>
          <w:numId w:val="6"/>
        </w:numPr>
        <w:spacing w:after="0" w:line="240" w:lineRule="auto"/>
        <w:ind w:left="567" w:right="-46" w:hanging="567"/>
        <w:rPr>
          <w:rFonts w:ascii="Cambria" w:eastAsia="Times New Roman" w:hAnsi="Cambria"/>
          <w:b/>
          <w:noProof/>
        </w:rPr>
      </w:pPr>
      <w:r w:rsidRPr="00D713DD">
        <w:rPr>
          <w:rFonts w:ascii="Cambria" w:eastAsia="Times New Roman" w:hAnsi="Cambria"/>
          <w:b/>
          <w:noProof/>
        </w:rPr>
        <w:t>KOSTO</w:t>
      </w:r>
      <w:r w:rsidR="00941990" w:rsidRPr="00D713DD">
        <w:rPr>
          <w:rFonts w:ascii="Cambria" w:eastAsia="Times New Roman" w:hAnsi="Cambria"/>
          <w:b/>
          <w:noProof/>
        </w:rPr>
        <w:t>T</w:t>
      </w:r>
      <w:r w:rsidR="00046697" w:rsidRPr="00D713DD">
        <w:rPr>
          <w:rFonts w:ascii="Cambria" w:eastAsia="Times New Roman" w:hAnsi="Cambria"/>
          <w:b/>
          <w:noProof/>
        </w:rPr>
        <w:t xml:space="preserve"> </w:t>
      </w:r>
    </w:p>
    <w:p w14:paraId="0B8E1698" w14:textId="77777777" w:rsidR="00046697" w:rsidRPr="00D713DD" w:rsidRDefault="00046697" w:rsidP="00046697">
      <w:pPr>
        <w:pStyle w:val="ListParagraph"/>
        <w:spacing w:after="0" w:line="240" w:lineRule="auto"/>
        <w:ind w:left="567" w:right="-46"/>
        <w:rPr>
          <w:rFonts w:ascii="Cambria" w:eastAsia="Times New Roman" w:hAnsi="Cambria"/>
          <w:b/>
          <w:noProof/>
          <w:sz w:val="20"/>
          <w:szCs w:val="20"/>
        </w:rPr>
      </w:pPr>
    </w:p>
    <w:p w14:paraId="65057971" w14:textId="7EEC89EE" w:rsidR="00046697" w:rsidRDefault="00046697" w:rsidP="00046697">
      <w:pPr>
        <w:spacing w:after="0" w:line="240" w:lineRule="auto"/>
        <w:ind w:right="-46"/>
        <w:jc w:val="both"/>
        <w:rPr>
          <w:rFonts w:ascii="Cambria" w:hAnsi="Cambria"/>
          <w:i/>
          <w:sz w:val="20"/>
          <w:szCs w:val="20"/>
        </w:rPr>
      </w:pPr>
      <w:r w:rsidRPr="00D713DD">
        <w:rPr>
          <w:rFonts w:ascii="Cambria" w:hAnsi="Cambria"/>
          <w:b/>
          <w:sz w:val="20"/>
          <w:szCs w:val="20"/>
        </w:rPr>
        <w:t xml:space="preserve">Tabela 3.0: </w:t>
      </w:r>
      <w:r w:rsidRPr="00D713DD">
        <w:rPr>
          <w:rFonts w:ascii="Cambria" w:hAnsi="Cambria"/>
          <w:i/>
          <w:sz w:val="20"/>
          <w:szCs w:val="20"/>
        </w:rPr>
        <w:t xml:space="preserve">Shërbimi i borxhit shtetëror </w:t>
      </w:r>
      <w:r w:rsidR="001B0EEC" w:rsidRPr="00D713DD">
        <w:rPr>
          <w:rFonts w:ascii="Cambria" w:hAnsi="Cambria"/>
          <w:i/>
          <w:sz w:val="20"/>
          <w:szCs w:val="20"/>
        </w:rPr>
        <w:t>(</w:t>
      </w:r>
      <w:r w:rsidR="00750CC0" w:rsidRPr="00D713DD">
        <w:rPr>
          <w:rFonts w:ascii="Cambria" w:hAnsi="Cambria"/>
          <w:i/>
          <w:sz w:val="20"/>
          <w:szCs w:val="20"/>
        </w:rPr>
        <w:t>201</w:t>
      </w:r>
      <w:r w:rsidR="00F76036" w:rsidRPr="00D713DD">
        <w:rPr>
          <w:rFonts w:ascii="Cambria" w:hAnsi="Cambria"/>
          <w:i/>
          <w:sz w:val="20"/>
          <w:szCs w:val="20"/>
        </w:rPr>
        <w:t>7</w:t>
      </w:r>
      <w:r w:rsidR="006D7FB5">
        <w:rPr>
          <w:rFonts w:ascii="Cambria" w:hAnsi="Cambria"/>
          <w:i/>
          <w:sz w:val="20"/>
          <w:szCs w:val="20"/>
        </w:rPr>
        <w:t xml:space="preserve"> -</w:t>
      </w:r>
      <w:r w:rsidR="00D713DD">
        <w:rPr>
          <w:rFonts w:ascii="Cambria" w:hAnsi="Cambria"/>
          <w:i/>
          <w:sz w:val="20"/>
          <w:szCs w:val="20"/>
        </w:rPr>
        <w:t xml:space="preserve"> 2022</w:t>
      </w:r>
      <w:r w:rsidR="001B0EEC" w:rsidRPr="00D713DD">
        <w:rPr>
          <w:rFonts w:ascii="Cambria" w:hAnsi="Cambria"/>
          <w:i/>
          <w:sz w:val="20"/>
          <w:szCs w:val="20"/>
        </w:rPr>
        <w:t>)</w:t>
      </w:r>
      <w:r w:rsidR="008C4584" w:rsidRPr="00D713DD">
        <w:rPr>
          <w:rFonts w:ascii="Cambria" w:hAnsi="Cambria"/>
          <w:i/>
          <w:sz w:val="20"/>
          <w:szCs w:val="20"/>
        </w:rPr>
        <w:t xml:space="preserve">                           </w:t>
      </w:r>
      <w:r w:rsidR="0045556A" w:rsidRPr="00D713DD">
        <w:rPr>
          <w:rFonts w:ascii="Cambria" w:hAnsi="Cambria"/>
          <w:i/>
          <w:sz w:val="20"/>
          <w:szCs w:val="20"/>
        </w:rPr>
        <w:t xml:space="preserve">               </w:t>
      </w:r>
      <w:r w:rsidR="008C4584" w:rsidRPr="00D713DD">
        <w:rPr>
          <w:rFonts w:ascii="Cambria" w:hAnsi="Cambria"/>
          <w:i/>
          <w:sz w:val="20"/>
          <w:szCs w:val="20"/>
        </w:rPr>
        <w:t xml:space="preserve">  </w:t>
      </w:r>
      <w:r w:rsidR="006D7FB5">
        <w:rPr>
          <w:rFonts w:ascii="Cambria" w:hAnsi="Cambria"/>
          <w:i/>
          <w:sz w:val="20"/>
          <w:szCs w:val="20"/>
        </w:rPr>
        <w:t xml:space="preserve"> </w:t>
      </w:r>
      <w:r w:rsidR="008C4584" w:rsidRPr="00D713DD">
        <w:rPr>
          <w:rFonts w:ascii="Cambria" w:hAnsi="Cambria"/>
          <w:i/>
          <w:sz w:val="20"/>
          <w:szCs w:val="20"/>
        </w:rPr>
        <w:t xml:space="preserve">  </w:t>
      </w:r>
      <w:r w:rsidR="001B0EEC" w:rsidRPr="00D713DD">
        <w:rPr>
          <w:rFonts w:ascii="Cambria" w:hAnsi="Cambria"/>
          <w:i/>
          <w:sz w:val="20"/>
          <w:szCs w:val="20"/>
        </w:rPr>
        <w:t xml:space="preserve">         </w:t>
      </w:r>
      <w:r w:rsidR="00750CC0" w:rsidRPr="00D713DD">
        <w:rPr>
          <w:rFonts w:ascii="Cambria" w:hAnsi="Cambria"/>
          <w:i/>
          <w:sz w:val="20"/>
          <w:szCs w:val="20"/>
        </w:rPr>
        <w:t xml:space="preserve">  </w:t>
      </w:r>
      <w:r w:rsidR="00133ADD">
        <w:rPr>
          <w:rFonts w:ascii="Cambria" w:hAnsi="Cambria"/>
          <w:i/>
          <w:sz w:val="20"/>
          <w:szCs w:val="20"/>
        </w:rPr>
        <w:t xml:space="preserve">                </w:t>
      </w:r>
      <w:r w:rsidRPr="00D713DD">
        <w:rPr>
          <w:rFonts w:ascii="Cambria" w:hAnsi="Cambria"/>
          <w:i/>
          <w:sz w:val="20"/>
          <w:szCs w:val="20"/>
        </w:rPr>
        <w:t>(në milion Lek</w:t>
      </w:r>
      <w:r w:rsidR="003F5D3F" w:rsidRPr="00D713DD">
        <w:rPr>
          <w:rFonts w:ascii="Cambria" w:hAnsi="Cambria"/>
          <w:i/>
          <w:sz w:val="20"/>
          <w:szCs w:val="20"/>
        </w:rPr>
        <w:t>ë</w:t>
      </w:r>
      <w:r w:rsidRPr="00D713DD">
        <w:rPr>
          <w:rFonts w:ascii="Cambria" w:hAnsi="Cambria"/>
          <w:i/>
          <w:sz w:val="20"/>
          <w:szCs w:val="20"/>
        </w:rPr>
        <w:t>)</w:t>
      </w:r>
    </w:p>
    <w:p w14:paraId="69BB8720" w14:textId="2D3DD33F" w:rsidR="006D7FB5" w:rsidRPr="00D713DD" w:rsidRDefault="006D7FB5" w:rsidP="00046697">
      <w:pPr>
        <w:spacing w:after="0" w:line="240" w:lineRule="auto"/>
        <w:ind w:right="-46"/>
        <w:jc w:val="both"/>
        <w:rPr>
          <w:rFonts w:ascii="Cambria" w:hAnsi="Cambria"/>
          <w:i/>
          <w:sz w:val="20"/>
          <w:szCs w:val="20"/>
        </w:rPr>
      </w:pPr>
      <w:r w:rsidRPr="006D7FB5">
        <w:rPr>
          <w:noProof/>
          <w:lang w:val="en-US"/>
        </w:rPr>
        <w:drawing>
          <wp:inline distT="0" distB="0" distL="0" distR="0" wp14:anchorId="3F4F882B" wp14:editId="696DAD7E">
            <wp:extent cx="5823963" cy="1955165"/>
            <wp:effectExtent l="0" t="0" r="5715"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8882" cy="1980316"/>
                    </a:xfrm>
                    <a:prstGeom prst="rect">
                      <a:avLst/>
                    </a:prstGeom>
                    <a:noFill/>
                    <a:ln>
                      <a:noFill/>
                    </a:ln>
                  </pic:spPr>
                </pic:pic>
              </a:graphicData>
            </a:graphic>
          </wp:inline>
        </w:drawing>
      </w:r>
    </w:p>
    <w:p w14:paraId="06C9DD8B" w14:textId="77777777" w:rsidR="00C84251" w:rsidRPr="00D713DD" w:rsidRDefault="00046697" w:rsidP="006D7FB5">
      <w:pPr>
        <w:tabs>
          <w:tab w:val="left" w:pos="3214"/>
        </w:tabs>
        <w:spacing w:after="0" w:line="240" w:lineRule="auto"/>
        <w:ind w:right="-46"/>
        <w:rPr>
          <w:rFonts w:ascii="Cambria" w:hAnsi="Cambria"/>
          <w:i/>
          <w:noProof/>
          <w:sz w:val="20"/>
          <w:szCs w:val="20"/>
        </w:rPr>
      </w:pPr>
      <w:r w:rsidRPr="00D713DD">
        <w:rPr>
          <w:rFonts w:ascii="Cambria" w:hAnsi="Cambria"/>
          <w:i/>
          <w:noProof/>
          <w:sz w:val="20"/>
          <w:szCs w:val="20"/>
        </w:rPr>
        <w:t xml:space="preserve">* Krahas shërbimit të borxhit shtetëror përfshihet edhe shërbimi i borxhit që </w:t>
      </w:r>
      <w:r w:rsidR="008C4584" w:rsidRPr="00D713DD">
        <w:rPr>
          <w:rFonts w:ascii="Cambria" w:hAnsi="Cambria"/>
          <w:i/>
          <w:noProof/>
          <w:sz w:val="20"/>
          <w:szCs w:val="20"/>
        </w:rPr>
        <w:t>q</w:t>
      </w:r>
      <w:r w:rsidRPr="00D713DD">
        <w:rPr>
          <w:rFonts w:ascii="Cambria" w:hAnsi="Cambria"/>
          <w:i/>
          <w:noProof/>
          <w:sz w:val="20"/>
          <w:szCs w:val="20"/>
        </w:rPr>
        <w:t>everia ka</w:t>
      </w:r>
      <w:r w:rsidRPr="00D713DD">
        <w:rPr>
          <w:rFonts w:ascii="Cambria" w:hAnsi="Cambria"/>
          <w:i/>
          <w:noProof/>
          <w:color w:val="FFFFFF" w:themeColor="background1"/>
          <w:sz w:val="20"/>
          <w:szCs w:val="20"/>
        </w:rPr>
        <w:t>..</w:t>
      </w:r>
      <w:r w:rsidRPr="00D713DD">
        <w:rPr>
          <w:rFonts w:ascii="Cambria" w:hAnsi="Cambria"/>
          <w:i/>
          <w:noProof/>
          <w:sz w:val="20"/>
          <w:szCs w:val="20"/>
        </w:rPr>
        <w:t xml:space="preserve">paguar në favor të entiteteve për të cilat </w:t>
      </w:r>
      <w:r w:rsidR="0045556A" w:rsidRPr="00D713DD">
        <w:rPr>
          <w:rFonts w:ascii="Cambria" w:hAnsi="Cambria"/>
          <w:i/>
          <w:noProof/>
          <w:sz w:val="20"/>
          <w:szCs w:val="20"/>
        </w:rPr>
        <w:t>ka lëshuar</w:t>
      </w:r>
      <w:r w:rsidRPr="00D713DD">
        <w:rPr>
          <w:rFonts w:ascii="Cambria" w:hAnsi="Cambria"/>
          <w:i/>
          <w:noProof/>
          <w:sz w:val="20"/>
          <w:szCs w:val="20"/>
        </w:rPr>
        <w:t xml:space="preserve"> </w:t>
      </w:r>
      <w:r w:rsidR="008C4584" w:rsidRPr="00D713DD">
        <w:rPr>
          <w:rFonts w:ascii="Cambria" w:hAnsi="Cambria"/>
          <w:i/>
          <w:noProof/>
          <w:sz w:val="20"/>
          <w:szCs w:val="20"/>
        </w:rPr>
        <w:t>g</w:t>
      </w:r>
      <w:r w:rsidRPr="00D713DD">
        <w:rPr>
          <w:rFonts w:ascii="Cambria" w:hAnsi="Cambria"/>
          <w:i/>
          <w:noProof/>
          <w:sz w:val="20"/>
          <w:szCs w:val="20"/>
        </w:rPr>
        <w:t xml:space="preserve">aranci </w:t>
      </w:r>
      <w:r w:rsidR="008C4584" w:rsidRPr="00D713DD">
        <w:rPr>
          <w:rFonts w:ascii="Cambria" w:hAnsi="Cambria"/>
          <w:i/>
          <w:noProof/>
          <w:sz w:val="20"/>
          <w:szCs w:val="20"/>
        </w:rPr>
        <w:t>s</w:t>
      </w:r>
      <w:r w:rsidRPr="00D713DD">
        <w:rPr>
          <w:rFonts w:ascii="Cambria" w:hAnsi="Cambria"/>
          <w:i/>
          <w:noProof/>
          <w:sz w:val="20"/>
          <w:szCs w:val="20"/>
        </w:rPr>
        <w:t>htetërore.</w:t>
      </w:r>
    </w:p>
    <w:p w14:paraId="0944C91C" w14:textId="77777777" w:rsidR="00E05B85" w:rsidRPr="00D713DD" w:rsidRDefault="00E05B85" w:rsidP="008C4584">
      <w:pPr>
        <w:spacing w:after="0" w:line="240" w:lineRule="auto"/>
        <w:ind w:right="-46"/>
        <w:rPr>
          <w:rFonts w:ascii="Cambria" w:eastAsia="Times New Roman" w:hAnsi="Cambria"/>
          <w:b/>
          <w:noProof/>
        </w:rPr>
      </w:pPr>
    </w:p>
    <w:p w14:paraId="2EE3DFB6" w14:textId="77777777" w:rsidR="00BF0B26" w:rsidRDefault="00BF0B26" w:rsidP="008C4584">
      <w:pPr>
        <w:spacing w:after="0" w:line="240" w:lineRule="auto"/>
        <w:ind w:right="-46"/>
        <w:rPr>
          <w:rFonts w:ascii="Cambria" w:eastAsia="Times New Roman" w:hAnsi="Cambria"/>
          <w:b/>
          <w:noProof/>
        </w:rPr>
      </w:pPr>
    </w:p>
    <w:p w14:paraId="3EBE5108" w14:textId="77777777" w:rsidR="00660B87" w:rsidRDefault="00660B87" w:rsidP="008C4584">
      <w:pPr>
        <w:spacing w:after="0" w:line="240" w:lineRule="auto"/>
        <w:ind w:right="-46"/>
        <w:rPr>
          <w:rFonts w:ascii="Cambria" w:eastAsia="Times New Roman" w:hAnsi="Cambria"/>
          <w:b/>
          <w:noProof/>
        </w:rPr>
      </w:pPr>
    </w:p>
    <w:p w14:paraId="26376777" w14:textId="77777777" w:rsidR="00660B87" w:rsidRDefault="00660B87" w:rsidP="008C4584">
      <w:pPr>
        <w:spacing w:after="0" w:line="240" w:lineRule="auto"/>
        <w:ind w:right="-46"/>
        <w:rPr>
          <w:rFonts w:ascii="Cambria" w:eastAsia="Times New Roman" w:hAnsi="Cambria"/>
          <w:b/>
          <w:noProof/>
        </w:rPr>
      </w:pPr>
    </w:p>
    <w:p w14:paraId="3689059D" w14:textId="77777777" w:rsidR="00660B87" w:rsidRDefault="00660B87" w:rsidP="008C4584">
      <w:pPr>
        <w:spacing w:after="0" w:line="240" w:lineRule="auto"/>
        <w:ind w:right="-46"/>
        <w:rPr>
          <w:rFonts w:ascii="Cambria" w:eastAsia="Times New Roman" w:hAnsi="Cambria"/>
          <w:b/>
          <w:noProof/>
        </w:rPr>
      </w:pPr>
    </w:p>
    <w:p w14:paraId="397A29A8" w14:textId="77777777" w:rsidR="00660B87" w:rsidRPr="00D713DD" w:rsidRDefault="00660B87" w:rsidP="008C4584">
      <w:pPr>
        <w:spacing w:after="0" w:line="240" w:lineRule="auto"/>
        <w:ind w:right="-46"/>
        <w:rPr>
          <w:rFonts w:ascii="Cambria" w:eastAsia="Times New Roman" w:hAnsi="Cambria"/>
          <w:b/>
          <w:noProof/>
        </w:rPr>
      </w:pPr>
    </w:p>
    <w:p w14:paraId="770A06DB" w14:textId="77777777" w:rsidR="00AF7DA5" w:rsidRPr="00D713DD" w:rsidRDefault="00AF7DA5" w:rsidP="008C4584">
      <w:pPr>
        <w:spacing w:after="0" w:line="240" w:lineRule="auto"/>
        <w:ind w:right="-46"/>
        <w:rPr>
          <w:rFonts w:ascii="Cambria" w:eastAsia="Times New Roman" w:hAnsi="Cambria"/>
          <w:b/>
          <w:noProof/>
        </w:rPr>
      </w:pPr>
    </w:p>
    <w:p w14:paraId="56B5F32C" w14:textId="77777777" w:rsidR="00046697" w:rsidRPr="00D713DD" w:rsidRDefault="00046697" w:rsidP="00046697">
      <w:pPr>
        <w:pStyle w:val="ListParagraph"/>
        <w:numPr>
          <w:ilvl w:val="0"/>
          <w:numId w:val="6"/>
        </w:numPr>
        <w:spacing w:after="0" w:line="240" w:lineRule="auto"/>
        <w:ind w:left="567" w:right="-46" w:hanging="567"/>
        <w:rPr>
          <w:rFonts w:ascii="Cambria" w:eastAsia="Times New Roman" w:hAnsi="Cambria"/>
          <w:b/>
          <w:noProof/>
        </w:rPr>
      </w:pPr>
      <w:r w:rsidRPr="00D713DD">
        <w:rPr>
          <w:rFonts w:ascii="Cambria" w:eastAsia="Times New Roman" w:hAnsi="Cambria"/>
          <w:b/>
          <w:noProof/>
        </w:rPr>
        <w:t>TREGUESIT E TREGUT PRIMAR TË TITUJVE SHTETËRORË</w:t>
      </w:r>
    </w:p>
    <w:p w14:paraId="1D3EC351" w14:textId="77777777" w:rsidR="00046697" w:rsidRPr="00D713DD" w:rsidRDefault="00046697" w:rsidP="00DD18A4">
      <w:pPr>
        <w:pStyle w:val="ListParagraph"/>
        <w:shd w:val="clear" w:color="auto" w:fill="FFFFFF" w:themeFill="background1"/>
        <w:spacing w:after="0" w:line="240" w:lineRule="auto"/>
        <w:ind w:left="567" w:right="-46"/>
        <w:rPr>
          <w:rFonts w:ascii="Cambria" w:eastAsia="Times New Roman" w:hAnsi="Cambria"/>
          <w:b/>
          <w:noProof/>
          <w:sz w:val="20"/>
          <w:szCs w:val="20"/>
        </w:rPr>
      </w:pPr>
    </w:p>
    <w:p w14:paraId="6D765A3B" w14:textId="47FCCE3B" w:rsidR="008F27E4" w:rsidRPr="00DD18A4" w:rsidRDefault="00046697" w:rsidP="00DD18A4">
      <w:pPr>
        <w:shd w:val="clear" w:color="auto" w:fill="FFFFFF" w:themeFill="background1"/>
        <w:spacing w:after="0" w:line="240" w:lineRule="auto"/>
        <w:ind w:right="-46"/>
        <w:rPr>
          <w:rFonts w:ascii="Cambria" w:hAnsi="Cambria"/>
          <w:i/>
          <w:sz w:val="20"/>
          <w:szCs w:val="20"/>
        </w:rPr>
      </w:pPr>
      <w:r w:rsidRPr="00DD18A4">
        <w:rPr>
          <w:rFonts w:ascii="Cambria" w:hAnsi="Cambria"/>
          <w:b/>
          <w:sz w:val="20"/>
          <w:szCs w:val="20"/>
        </w:rPr>
        <w:t xml:space="preserve">Tabela 4.0: </w:t>
      </w:r>
      <w:r w:rsidR="008D3FC3" w:rsidRPr="00DD18A4">
        <w:rPr>
          <w:rFonts w:ascii="Cambria" w:hAnsi="Cambria"/>
          <w:b/>
          <w:sz w:val="20"/>
          <w:szCs w:val="20"/>
        </w:rPr>
        <w:t xml:space="preserve"> </w:t>
      </w:r>
      <w:r w:rsidRPr="00DD18A4">
        <w:rPr>
          <w:rFonts w:ascii="Cambria" w:hAnsi="Cambria"/>
          <w:i/>
          <w:sz w:val="20"/>
          <w:szCs w:val="20"/>
        </w:rPr>
        <w:t>Treguesit e ecurisë së kërkesës dhe ofertës në tregun primar të titujve shtetërorë</w:t>
      </w:r>
      <w:r w:rsidR="00C90EC8" w:rsidRPr="00DD18A4">
        <w:rPr>
          <w:rFonts w:ascii="Cambria" w:hAnsi="Cambria"/>
          <w:i/>
          <w:sz w:val="20"/>
          <w:szCs w:val="20"/>
        </w:rPr>
        <w:t xml:space="preserve"> </w:t>
      </w:r>
      <w:r w:rsidR="00DD18A4" w:rsidRPr="00DD18A4">
        <w:rPr>
          <w:rFonts w:ascii="Cambria" w:hAnsi="Cambria"/>
          <w:i/>
          <w:sz w:val="20"/>
          <w:szCs w:val="20"/>
        </w:rPr>
        <w:t>(2021- 2022)</w:t>
      </w:r>
    </w:p>
    <w:p w14:paraId="70708C1B" w14:textId="63FD4599" w:rsidR="006109EB" w:rsidRPr="00D713DD" w:rsidRDefault="00EB6955" w:rsidP="00046697">
      <w:pPr>
        <w:spacing w:after="0" w:line="240" w:lineRule="auto"/>
        <w:rPr>
          <w:rFonts w:ascii="Cambria" w:hAnsi="Cambria"/>
          <w:b/>
          <w:sz w:val="20"/>
          <w:szCs w:val="20"/>
        </w:rPr>
      </w:pPr>
      <w:r w:rsidRPr="00EB6955">
        <w:rPr>
          <w:noProof/>
          <w:lang w:val="en-US"/>
        </w:rPr>
        <w:drawing>
          <wp:inline distT="0" distB="0" distL="0" distR="0" wp14:anchorId="1FDEA87C" wp14:editId="3BA3289E">
            <wp:extent cx="5797555" cy="165627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00863" cy="1657217"/>
                    </a:xfrm>
                    <a:prstGeom prst="rect">
                      <a:avLst/>
                    </a:prstGeom>
                    <a:noFill/>
                    <a:ln>
                      <a:noFill/>
                    </a:ln>
                  </pic:spPr>
                </pic:pic>
              </a:graphicData>
            </a:graphic>
          </wp:inline>
        </w:drawing>
      </w:r>
    </w:p>
    <w:p w14:paraId="28BBDF9F" w14:textId="77777777" w:rsidR="00E34408" w:rsidRPr="00D713DD" w:rsidRDefault="00E34408" w:rsidP="00046697">
      <w:pPr>
        <w:spacing w:after="0" w:line="240" w:lineRule="auto"/>
        <w:rPr>
          <w:rFonts w:ascii="Cambria" w:hAnsi="Cambria"/>
          <w:b/>
          <w:sz w:val="20"/>
          <w:szCs w:val="20"/>
        </w:rPr>
      </w:pPr>
    </w:p>
    <w:p w14:paraId="60A46580" w14:textId="77777777" w:rsidR="00143AD5" w:rsidRDefault="00143AD5" w:rsidP="00046697">
      <w:pPr>
        <w:spacing w:after="0" w:line="240" w:lineRule="auto"/>
        <w:rPr>
          <w:rFonts w:ascii="Cambria" w:hAnsi="Cambria"/>
          <w:b/>
          <w:sz w:val="20"/>
          <w:szCs w:val="20"/>
        </w:rPr>
      </w:pPr>
    </w:p>
    <w:p w14:paraId="2A1BD89E" w14:textId="77777777" w:rsidR="00D713DD" w:rsidRDefault="00D713DD" w:rsidP="00046697">
      <w:pPr>
        <w:spacing w:after="0" w:line="240" w:lineRule="auto"/>
        <w:rPr>
          <w:rFonts w:ascii="Cambria" w:hAnsi="Cambria"/>
          <w:b/>
          <w:sz w:val="20"/>
          <w:szCs w:val="20"/>
        </w:rPr>
      </w:pPr>
    </w:p>
    <w:p w14:paraId="07BA5DAD" w14:textId="77777777" w:rsidR="003529F5" w:rsidRPr="00D713DD" w:rsidRDefault="003529F5" w:rsidP="00046697">
      <w:pPr>
        <w:spacing w:after="0" w:line="240" w:lineRule="auto"/>
        <w:rPr>
          <w:rFonts w:ascii="Cambria" w:hAnsi="Cambria"/>
          <w:b/>
          <w:sz w:val="20"/>
          <w:szCs w:val="20"/>
        </w:rPr>
      </w:pPr>
    </w:p>
    <w:p w14:paraId="1DD6BC0A" w14:textId="77777777" w:rsidR="00600554" w:rsidRPr="00D713DD" w:rsidRDefault="00600554" w:rsidP="00046697">
      <w:pPr>
        <w:spacing w:after="0" w:line="240" w:lineRule="auto"/>
        <w:rPr>
          <w:rFonts w:ascii="Cambria" w:hAnsi="Cambria"/>
          <w:b/>
          <w:sz w:val="20"/>
          <w:szCs w:val="20"/>
        </w:rPr>
      </w:pPr>
    </w:p>
    <w:p w14:paraId="51F88B9F" w14:textId="77777777" w:rsidR="008C4584" w:rsidRPr="00D713DD" w:rsidRDefault="00046697" w:rsidP="00600554">
      <w:pPr>
        <w:pStyle w:val="ListParagraph"/>
        <w:numPr>
          <w:ilvl w:val="0"/>
          <w:numId w:val="6"/>
        </w:numPr>
        <w:spacing w:after="0" w:line="240" w:lineRule="auto"/>
        <w:ind w:left="567" w:right="-46" w:hanging="567"/>
        <w:rPr>
          <w:rFonts w:ascii="Cambria" w:eastAsia="Times New Roman" w:hAnsi="Cambria"/>
          <w:b/>
          <w:noProof/>
        </w:rPr>
      </w:pPr>
      <w:r w:rsidRPr="00D713DD">
        <w:rPr>
          <w:rFonts w:ascii="Cambria" w:eastAsia="Times New Roman" w:hAnsi="Cambria"/>
          <w:b/>
          <w:noProof/>
        </w:rPr>
        <w:t>KOMPOZIMI I BORXHIT TË JASHTËM</w:t>
      </w:r>
    </w:p>
    <w:p w14:paraId="4711313F" w14:textId="0A0194FD" w:rsidR="00BC0099" w:rsidRPr="00D713DD" w:rsidRDefault="00BC0099" w:rsidP="00BC0099">
      <w:pPr>
        <w:spacing w:after="0" w:line="240" w:lineRule="auto"/>
        <w:rPr>
          <w:rFonts w:ascii="Cambria" w:hAnsi="Cambria"/>
          <w:b/>
          <w:sz w:val="20"/>
          <w:szCs w:val="20"/>
        </w:rPr>
      </w:pPr>
    </w:p>
    <w:p w14:paraId="283A8B77" w14:textId="41F7F95A" w:rsidR="006D7FB5" w:rsidRDefault="00536470" w:rsidP="00BC0099">
      <w:pPr>
        <w:spacing w:after="0" w:line="240" w:lineRule="auto"/>
        <w:rPr>
          <w:rFonts w:ascii="Cambria" w:hAnsi="Cambria"/>
          <w:i/>
          <w:sz w:val="20"/>
          <w:szCs w:val="20"/>
        </w:rPr>
      </w:pPr>
      <w:r>
        <w:rPr>
          <w:noProof/>
          <w:lang w:val="en-US"/>
        </w:rPr>
        <w:drawing>
          <wp:anchor distT="0" distB="0" distL="114300" distR="114300" simplePos="0" relativeHeight="251919360" behindDoc="1" locked="0" layoutInCell="1" allowOverlap="1" wp14:anchorId="3FD0B835" wp14:editId="31F430D1">
            <wp:simplePos x="0" y="0"/>
            <wp:positionH relativeFrom="column">
              <wp:posOffset>-1270</wp:posOffset>
            </wp:positionH>
            <wp:positionV relativeFrom="paragraph">
              <wp:posOffset>215265</wp:posOffset>
            </wp:positionV>
            <wp:extent cx="3034665" cy="1628140"/>
            <wp:effectExtent l="0" t="0" r="13335" b="10160"/>
            <wp:wrapTight wrapText="bothSides">
              <wp:wrapPolygon edited="0">
                <wp:start x="0" y="0"/>
                <wp:lineTo x="0" y="21482"/>
                <wp:lineTo x="21559" y="21482"/>
                <wp:lineTo x="21559" y="0"/>
                <wp:lineTo x="0" y="0"/>
              </wp:wrapPolygon>
            </wp:wrapTight>
            <wp:docPr id="48" name="Chart 48">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Pr>
          <w:rFonts w:ascii="Cambria" w:hAnsi="Cambria"/>
          <w:i/>
          <w:noProof/>
          <w:sz w:val="20"/>
          <w:szCs w:val="20"/>
          <w:lang w:val="en-US"/>
        </w:rPr>
        <w:drawing>
          <wp:anchor distT="0" distB="0" distL="114300" distR="114300" simplePos="0" relativeHeight="251920384" behindDoc="1" locked="0" layoutInCell="1" allowOverlap="1" wp14:anchorId="504FBA73" wp14:editId="6125C730">
            <wp:simplePos x="0" y="0"/>
            <wp:positionH relativeFrom="column">
              <wp:posOffset>3033395</wp:posOffset>
            </wp:positionH>
            <wp:positionV relativeFrom="paragraph">
              <wp:posOffset>215265</wp:posOffset>
            </wp:positionV>
            <wp:extent cx="2764155" cy="1623695"/>
            <wp:effectExtent l="0" t="0" r="0" b="0"/>
            <wp:wrapTight wrapText="bothSides">
              <wp:wrapPolygon edited="0">
                <wp:start x="0" y="0"/>
                <wp:lineTo x="0" y="21287"/>
                <wp:lineTo x="21436" y="21287"/>
                <wp:lineTo x="21436"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4155" cy="1623695"/>
                    </a:xfrm>
                    <a:prstGeom prst="rect">
                      <a:avLst/>
                    </a:prstGeom>
                    <a:noFill/>
                  </pic:spPr>
                </pic:pic>
              </a:graphicData>
            </a:graphic>
            <wp14:sizeRelH relativeFrom="margin">
              <wp14:pctWidth>0</wp14:pctWidth>
            </wp14:sizeRelH>
            <wp14:sizeRelV relativeFrom="margin">
              <wp14:pctHeight>0</wp14:pctHeight>
            </wp14:sizeRelV>
          </wp:anchor>
        </w:drawing>
      </w:r>
      <w:r w:rsidR="00BC0099" w:rsidRPr="00D713DD">
        <w:rPr>
          <w:rFonts w:ascii="Cambria" w:hAnsi="Cambria"/>
          <w:b/>
          <w:sz w:val="20"/>
          <w:szCs w:val="20"/>
        </w:rPr>
        <w:t xml:space="preserve">Paraqitje Grafike 5.0: </w:t>
      </w:r>
      <w:r w:rsidR="00BC0099" w:rsidRPr="00D713DD">
        <w:rPr>
          <w:rFonts w:ascii="Cambria" w:hAnsi="Cambria"/>
          <w:i/>
          <w:sz w:val="20"/>
          <w:szCs w:val="20"/>
        </w:rPr>
        <w:t>Stoku i borxhit të jasht</w:t>
      </w:r>
      <w:r w:rsidR="009F265A" w:rsidRPr="00D713DD">
        <w:rPr>
          <w:rFonts w:ascii="Cambria" w:hAnsi="Cambria"/>
          <w:i/>
          <w:sz w:val="20"/>
          <w:szCs w:val="20"/>
        </w:rPr>
        <w:t>ëm sh</w:t>
      </w:r>
      <w:r w:rsidR="00190E39">
        <w:rPr>
          <w:rFonts w:ascii="Cambria" w:hAnsi="Cambria"/>
          <w:i/>
          <w:sz w:val="20"/>
          <w:szCs w:val="20"/>
        </w:rPr>
        <w:t>tetëror sipas valutës (2021</w:t>
      </w:r>
      <w:r w:rsidR="002D1FF6" w:rsidRPr="00D713DD">
        <w:rPr>
          <w:rFonts w:ascii="Cambria" w:hAnsi="Cambria"/>
          <w:i/>
          <w:sz w:val="20"/>
          <w:szCs w:val="20"/>
        </w:rPr>
        <w:t xml:space="preserve">- </w:t>
      </w:r>
      <w:r w:rsidR="009F265A" w:rsidRPr="00D713DD">
        <w:rPr>
          <w:rFonts w:ascii="Cambria" w:hAnsi="Cambria"/>
          <w:i/>
          <w:sz w:val="20"/>
          <w:szCs w:val="20"/>
        </w:rPr>
        <w:t>2022</w:t>
      </w:r>
      <w:r w:rsidR="00BC0099" w:rsidRPr="00D713DD">
        <w:rPr>
          <w:rFonts w:ascii="Cambria" w:hAnsi="Cambria"/>
          <w:i/>
          <w:sz w:val="20"/>
          <w:szCs w:val="20"/>
        </w:rPr>
        <w:t xml:space="preserve">) </w:t>
      </w:r>
      <w:r w:rsidR="006D7FB5">
        <w:rPr>
          <w:noProof/>
          <w:lang w:val="en-GB" w:eastAsia="en-GB"/>
        </w:rPr>
        <w:t xml:space="preserve">    </w:t>
      </w:r>
      <w:r w:rsidR="00CC04EE">
        <w:rPr>
          <w:noProof/>
          <w:lang w:val="en-GB" w:eastAsia="en-GB"/>
        </w:rPr>
        <w:t xml:space="preserve"> </w:t>
      </w:r>
    </w:p>
    <w:p w14:paraId="55BBFF36" w14:textId="2F35AFD4" w:rsidR="006D7FB5" w:rsidRPr="00D713DD" w:rsidRDefault="006D7FB5" w:rsidP="00BC0099">
      <w:pPr>
        <w:spacing w:after="0" w:line="240" w:lineRule="auto"/>
        <w:rPr>
          <w:rFonts w:ascii="Cambria" w:hAnsi="Cambria"/>
          <w:i/>
          <w:sz w:val="20"/>
          <w:szCs w:val="20"/>
        </w:rPr>
      </w:pPr>
    </w:p>
    <w:p w14:paraId="3DBCC12F" w14:textId="6FE54023" w:rsidR="004E1C83" w:rsidRDefault="009F265A" w:rsidP="006D7FB5">
      <w:pPr>
        <w:spacing w:after="0" w:line="240" w:lineRule="auto"/>
        <w:contextualSpacing/>
        <w:rPr>
          <w:rFonts w:ascii="Cambria" w:hAnsi="Cambria"/>
          <w:b/>
          <w:sz w:val="20"/>
          <w:szCs w:val="20"/>
        </w:rPr>
      </w:pPr>
      <w:r w:rsidRPr="00D713DD">
        <w:rPr>
          <w:rFonts w:ascii="Cambria" w:hAnsi="Cambria"/>
          <w:b/>
          <w:noProof/>
          <w:sz w:val="20"/>
          <w:szCs w:val="20"/>
          <w:lang w:val="en-GB" w:eastAsia="en-GB"/>
        </w:rPr>
        <w:t xml:space="preserve">                                   </w:t>
      </w:r>
      <w:r w:rsidR="002D1FF6" w:rsidRPr="00D713DD">
        <w:rPr>
          <w:rFonts w:ascii="Cambria" w:hAnsi="Cambria"/>
          <w:b/>
          <w:noProof/>
          <w:sz w:val="20"/>
          <w:szCs w:val="20"/>
          <w:lang w:val="en-GB" w:eastAsia="en-GB"/>
        </w:rPr>
        <w:t xml:space="preserve">        </w:t>
      </w:r>
      <w:r w:rsidR="006D7FB5">
        <w:rPr>
          <w:rFonts w:ascii="Cambria" w:hAnsi="Cambria"/>
          <w:b/>
          <w:noProof/>
          <w:sz w:val="20"/>
          <w:szCs w:val="20"/>
          <w:lang w:val="en-GB" w:eastAsia="en-GB"/>
        </w:rPr>
        <w:t xml:space="preserve">                    </w:t>
      </w:r>
    </w:p>
    <w:p w14:paraId="26B9F5D1" w14:textId="7718FAFB" w:rsidR="00046697" w:rsidRDefault="008C4584" w:rsidP="00223B39">
      <w:pPr>
        <w:spacing w:after="0" w:line="240" w:lineRule="auto"/>
        <w:contextualSpacing/>
        <w:jc w:val="both"/>
        <w:rPr>
          <w:rFonts w:ascii="Cambria" w:hAnsi="Cambria"/>
          <w:i/>
          <w:sz w:val="20"/>
          <w:szCs w:val="20"/>
        </w:rPr>
      </w:pPr>
      <w:r w:rsidRPr="00D713DD">
        <w:rPr>
          <w:rFonts w:ascii="Cambria" w:hAnsi="Cambria"/>
          <w:b/>
          <w:sz w:val="20"/>
          <w:szCs w:val="20"/>
        </w:rPr>
        <w:t xml:space="preserve">Paraqitje Grafike 5.1: </w:t>
      </w:r>
      <w:r w:rsidRPr="00D713DD">
        <w:rPr>
          <w:rFonts w:ascii="Cambria" w:hAnsi="Cambria"/>
          <w:i/>
          <w:sz w:val="20"/>
          <w:szCs w:val="20"/>
        </w:rPr>
        <w:t xml:space="preserve">Stoku i borxhit të jashtëm sipas tipit të interesit </w:t>
      </w:r>
      <w:r w:rsidR="001B0EEC" w:rsidRPr="00D713DD">
        <w:rPr>
          <w:rFonts w:ascii="Cambria" w:hAnsi="Cambria"/>
          <w:i/>
          <w:sz w:val="20"/>
          <w:szCs w:val="20"/>
        </w:rPr>
        <w:t>(</w:t>
      </w:r>
      <w:r w:rsidR="0095795C" w:rsidRPr="00D713DD">
        <w:rPr>
          <w:rFonts w:ascii="Cambria" w:hAnsi="Cambria"/>
          <w:i/>
          <w:sz w:val="20"/>
          <w:szCs w:val="20"/>
        </w:rPr>
        <w:t>2017</w:t>
      </w:r>
      <w:r w:rsidR="00923100" w:rsidRPr="00D713DD">
        <w:rPr>
          <w:rFonts w:ascii="Cambria" w:hAnsi="Cambria"/>
          <w:i/>
          <w:sz w:val="20"/>
          <w:szCs w:val="20"/>
        </w:rPr>
        <w:t>-</w:t>
      </w:r>
      <w:r w:rsidR="00862084">
        <w:rPr>
          <w:rFonts w:ascii="Cambria" w:hAnsi="Cambria"/>
          <w:i/>
          <w:sz w:val="20"/>
          <w:szCs w:val="20"/>
        </w:rPr>
        <w:t xml:space="preserve"> </w:t>
      </w:r>
      <w:r w:rsidR="00143AD5" w:rsidRPr="00D713DD">
        <w:rPr>
          <w:rFonts w:ascii="Cambria" w:hAnsi="Cambria"/>
          <w:i/>
          <w:sz w:val="20"/>
          <w:szCs w:val="20"/>
        </w:rPr>
        <w:t>202</w:t>
      </w:r>
      <w:r w:rsidR="0095795C" w:rsidRPr="00D713DD">
        <w:rPr>
          <w:rFonts w:ascii="Cambria" w:hAnsi="Cambria"/>
          <w:i/>
          <w:sz w:val="20"/>
          <w:szCs w:val="20"/>
        </w:rPr>
        <w:t>2</w:t>
      </w:r>
      <w:r w:rsidR="006D7FB5">
        <w:rPr>
          <w:rFonts w:ascii="Cambria" w:hAnsi="Cambria"/>
          <w:i/>
          <w:sz w:val="20"/>
          <w:szCs w:val="20"/>
        </w:rPr>
        <w:t>)</w:t>
      </w:r>
    </w:p>
    <w:p w14:paraId="063E8AD2" w14:textId="1E43DDC1" w:rsidR="00CC04EE" w:rsidRDefault="00536470" w:rsidP="00223B39">
      <w:pPr>
        <w:spacing w:after="0" w:line="240" w:lineRule="auto"/>
        <w:contextualSpacing/>
        <w:jc w:val="both"/>
        <w:rPr>
          <w:rFonts w:ascii="Cambria" w:hAnsi="Cambria"/>
          <w:i/>
          <w:noProof/>
          <w:sz w:val="20"/>
          <w:szCs w:val="20"/>
          <w:lang w:val="en-US"/>
        </w:rPr>
      </w:pPr>
      <w:r w:rsidRPr="00536470">
        <w:rPr>
          <w:rFonts w:ascii="Cambria" w:hAnsi="Cambria"/>
          <w:i/>
          <w:noProof/>
          <w:sz w:val="20"/>
          <w:szCs w:val="20"/>
          <w:lang w:val="en-US"/>
        </w:rPr>
        <w:drawing>
          <wp:inline distT="0" distB="0" distL="0" distR="0" wp14:anchorId="2C9F04FD" wp14:editId="2AC12CEE">
            <wp:extent cx="5829300" cy="2030095"/>
            <wp:effectExtent l="0" t="0" r="0" b="8255"/>
            <wp:docPr id="36" name="Chart 36">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318C84C" w14:textId="77777777" w:rsidR="00823E9A" w:rsidRPr="00D713DD" w:rsidRDefault="00823E9A" w:rsidP="00823E9A">
      <w:pPr>
        <w:spacing w:after="0" w:line="240" w:lineRule="auto"/>
        <w:ind w:right="-46"/>
        <w:rPr>
          <w:rFonts w:ascii="Cambria" w:hAnsi="Cambria"/>
          <w:i/>
          <w:sz w:val="20"/>
          <w:szCs w:val="20"/>
        </w:rPr>
      </w:pPr>
      <w:r w:rsidRPr="00D713DD">
        <w:rPr>
          <w:rFonts w:ascii="Cambria" w:hAnsi="Cambria"/>
          <w:i/>
          <w:sz w:val="20"/>
          <w:szCs w:val="20"/>
        </w:rPr>
        <w:t>*Përfshihet borxhi shtetëror dhe borxhi shtetëror i garantuar</w:t>
      </w:r>
    </w:p>
    <w:p w14:paraId="68C8B5F1" w14:textId="77777777" w:rsidR="002A210F" w:rsidRPr="00D713DD" w:rsidRDefault="002A210F" w:rsidP="00223B39">
      <w:pPr>
        <w:spacing w:after="0" w:line="240" w:lineRule="auto"/>
        <w:contextualSpacing/>
        <w:jc w:val="both"/>
        <w:rPr>
          <w:rFonts w:ascii="Cambria" w:hAnsi="Cambria"/>
          <w:b/>
          <w:sz w:val="20"/>
          <w:szCs w:val="20"/>
        </w:rPr>
      </w:pPr>
    </w:p>
    <w:p w14:paraId="4261737D" w14:textId="77777777" w:rsidR="00904748" w:rsidRPr="00D713DD" w:rsidRDefault="00904748" w:rsidP="00223B39">
      <w:pPr>
        <w:spacing w:after="0" w:line="240" w:lineRule="auto"/>
        <w:contextualSpacing/>
        <w:jc w:val="both"/>
        <w:rPr>
          <w:rFonts w:ascii="Cambria" w:hAnsi="Cambria"/>
          <w:b/>
          <w:sz w:val="20"/>
          <w:szCs w:val="20"/>
        </w:rPr>
      </w:pPr>
    </w:p>
    <w:p w14:paraId="049DF206" w14:textId="77777777" w:rsidR="00536470" w:rsidRDefault="00536470" w:rsidP="00223B39">
      <w:pPr>
        <w:spacing w:after="0" w:line="240" w:lineRule="auto"/>
        <w:contextualSpacing/>
        <w:jc w:val="both"/>
        <w:rPr>
          <w:rFonts w:ascii="Cambria" w:hAnsi="Cambria"/>
          <w:b/>
          <w:sz w:val="20"/>
          <w:szCs w:val="20"/>
        </w:rPr>
      </w:pPr>
    </w:p>
    <w:p w14:paraId="3A5A829B" w14:textId="77777777" w:rsidR="00536470" w:rsidRDefault="00536470" w:rsidP="00223B39">
      <w:pPr>
        <w:spacing w:after="0" w:line="240" w:lineRule="auto"/>
        <w:contextualSpacing/>
        <w:jc w:val="both"/>
        <w:rPr>
          <w:rFonts w:ascii="Cambria" w:hAnsi="Cambria"/>
          <w:b/>
          <w:sz w:val="20"/>
          <w:szCs w:val="20"/>
        </w:rPr>
      </w:pPr>
    </w:p>
    <w:p w14:paraId="3D515784" w14:textId="77777777" w:rsidR="00536470" w:rsidRDefault="00536470" w:rsidP="00223B39">
      <w:pPr>
        <w:spacing w:after="0" w:line="240" w:lineRule="auto"/>
        <w:contextualSpacing/>
        <w:jc w:val="both"/>
        <w:rPr>
          <w:rFonts w:ascii="Cambria" w:hAnsi="Cambria"/>
          <w:b/>
          <w:sz w:val="20"/>
          <w:szCs w:val="20"/>
        </w:rPr>
      </w:pPr>
    </w:p>
    <w:p w14:paraId="7497294F" w14:textId="77777777" w:rsidR="00536470" w:rsidRDefault="00536470" w:rsidP="00223B39">
      <w:pPr>
        <w:spacing w:after="0" w:line="240" w:lineRule="auto"/>
        <w:contextualSpacing/>
        <w:jc w:val="both"/>
        <w:rPr>
          <w:rFonts w:ascii="Cambria" w:hAnsi="Cambria"/>
          <w:b/>
          <w:sz w:val="20"/>
          <w:szCs w:val="20"/>
        </w:rPr>
      </w:pPr>
    </w:p>
    <w:p w14:paraId="6618AB0A" w14:textId="77777777" w:rsidR="00536470" w:rsidRDefault="00536470" w:rsidP="00223B39">
      <w:pPr>
        <w:spacing w:after="0" w:line="240" w:lineRule="auto"/>
        <w:contextualSpacing/>
        <w:jc w:val="both"/>
        <w:rPr>
          <w:rFonts w:ascii="Cambria" w:hAnsi="Cambria"/>
          <w:b/>
          <w:sz w:val="20"/>
          <w:szCs w:val="20"/>
        </w:rPr>
      </w:pPr>
    </w:p>
    <w:p w14:paraId="2F9866BE" w14:textId="64F674EB" w:rsidR="00046697" w:rsidRPr="00D713DD" w:rsidRDefault="00046697" w:rsidP="00223B39">
      <w:pPr>
        <w:spacing w:after="0" w:line="240" w:lineRule="auto"/>
        <w:contextualSpacing/>
        <w:jc w:val="both"/>
        <w:rPr>
          <w:rFonts w:ascii="Cambria" w:hAnsi="Cambria"/>
          <w:i/>
          <w:sz w:val="20"/>
          <w:szCs w:val="20"/>
        </w:rPr>
      </w:pPr>
      <w:r w:rsidRPr="00D713DD">
        <w:rPr>
          <w:rFonts w:ascii="Cambria" w:hAnsi="Cambria"/>
          <w:b/>
          <w:sz w:val="20"/>
          <w:szCs w:val="20"/>
        </w:rPr>
        <w:t xml:space="preserve">Paraqitje Grafike 5.2: </w:t>
      </w:r>
      <w:r w:rsidRPr="00D713DD">
        <w:rPr>
          <w:rFonts w:ascii="Cambria" w:hAnsi="Cambria"/>
          <w:i/>
          <w:sz w:val="20"/>
          <w:szCs w:val="20"/>
        </w:rPr>
        <w:t xml:space="preserve">Stoku i borxhit të jashtëm sipas koncesionalitetit </w:t>
      </w:r>
      <w:r w:rsidR="001B0EEC" w:rsidRPr="00D713DD">
        <w:rPr>
          <w:rFonts w:ascii="Cambria" w:hAnsi="Cambria"/>
          <w:i/>
          <w:sz w:val="20"/>
          <w:szCs w:val="20"/>
        </w:rPr>
        <w:t>(</w:t>
      </w:r>
      <w:r w:rsidR="0095795C" w:rsidRPr="00D713DD">
        <w:rPr>
          <w:rFonts w:ascii="Cambria" w:hAnsi="Cambria"/>
          <w:i/>
          <w:sz w:val="20"/>
          <w:szCs w:val="20"/>
        </w:rPr>
        <w:t>2017</w:t>
      </w:r>
      <w:r w:rsidR="00831D1B" w:rsidRPr="00D713DD">
        <w:rPr>
          <w:rFonts w:ascii="Cambria" w:hAnsi="Cambria"/>
          <w:i/>
          <w:sz w:val="20"/>
          <w:szCs w:val="20"/>
        </w:rPr>
        <w:t>-</w:t>
      </w:r>
      <w:r w:rsidR="00143AD5" w:rsidRPr="00D713DD">
        <w:rPr>
          <w:rFonts w:ascii="Cambria" w:hAnsi="Cambria"/>
          <w:i/>
          <w:sz w:val="20"/>
          <w:szCs w:val="20"/>
        </w:rPr>
        <w:t>202</w:t>
      </w:r>
      <w:r w:rsidR="0095795C" w:rsidRPr="00D713DD">
        <w:rPr>
          <w:rFonts w:ascii="Cambria" w:hAnsi="Cambria"/>
          <w:i/>
          <w:sz w:val="20"/>
          <w:szCs w:val="20"/>
        </w:rPr>
        <w:t>2</w:t>
      </w:r>
      <w:r w:rsidR="001B0EEC" w:rsidRPr="00D713DD">
        <w:rPr>
          <w:rFonts w:ascii="Cambria" w:hAnsi="Cambria"/>
          <w:i/>
          <w:sz w:val="20"/>
          <w:szCs w:val="20"/>
        </w:rPr>
        <w:t>)</w:t>
      </w:r>
    </w:p>
    <w:p w14:paraId="04AA42D2" w14:textId="099FFF7C" w:rsidR="00BC0099" w:rsidRPr="00D713DD" w:rsidRDefault="00536470" w:rsidP="00223B39">
      <w:pPr>
        <w:spacing w:after="0" w:line="240" w:lineRule="auto"/>
        <w:contextualSpacing/>
        <w:jc w:val="both"/>
        <w:rPr>
          <w:rFonts w:ascii="Cambria" w:hAnsi="Cambria"/>
          <w:i/>
          <w:sz w:val="20"/>
          <w:szCs w:val="20"/>
        </w:rPr>
      </w:pPr>
      <w:r w:rsidRPr="00536470">
        <w:rPr>
          <w:rFonts w:ascii="Cambria" w:hAnsi="Cambria"/>
          <w:i/>
          <w:noProof/>
          <w:sz w:val="20"/>
          <w:szCs w:val="20"/>
          <w:lang w:val="en-US"/>
        </w:rPr>
        <w:drawing>
          <wp:inline distT="0" distB="0" distL="0" distR="0" wp14:anchorId="5A18E9DF" wp14:editId="3450FD2A">
            <wp:extent cx="5829300" cy="2346325"/>
            <wp:effectExtent l="0" t="0" r="0" b="15875"/>
            <wp:docPr id="37" name="Chart 37">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8CFC87A" w14:textId="1943306F" w:rsidR="00C90EC8" w:rsidRPr="00D713DD" w:rsidRDefault="00823E9A" w:rsidP="00964A25">
      <w:pPr>
        <w:spacing w:after="0" w:line="240" w:lineRule="auto"/>
        <w:ind w:right="-46"/>
        <w:rPr>
          <w:rFonts w:ascii="Cambria" w:hAnsi="Cambria"/>
          <w:i/>
          <w:sz w:val="20"/>
          <w:szCs w:val="20"/>
        </w:rPr>
      </w:pPr>
      <w:r w:rsidRPr="00D713DD">
        <w:rPr>
          <w:rFonts w:ascii="Cambria" w:hAnsi="Cambria"/>
          <w:i/>
          <w:sz w:val="20"/>
          <w:szCs w:val="20"/>
        </w:rPr>
        <w:t>*Përfshihet borxhi shtetëror dhe borxhi shtetëror i garantuar</w:t>
      </w:r>
    </w:p>
    <w:p w14:paraId="5847620C" w14:textId="77777777" w:rsidR="00964A25" w:rsidRDefault="00964A25" w:rsidP="00143AD5">
      <w:pPr>
        <w:spacing w:after="0" w:line="240" w:lineRule="auto"/>
        <w:contextualSpacing/>
        <w:jc w:val="both"/>
        <w:rPr>
          <w:rFonts w:ascii="Cambria" w:hAnsi="Cambria"/>
          <w:b/>
          <w:sz w:val="32"/>
          <w:szCs w:val="32"/>
        </w:rPr>
      </w:pPr>
    </w:p>
    <w:p w14:paraId="10CB269C" w14:textId="15DFD9BE" w:rsidR="00143AD5" w:rsidRPr="00D713DD" w:rsidRDefault="00446875" w:rsidP="00143AD5">
      <w:pPr>
        <w:spacing w:after="0" w:line="240" w:lineRule="auto"/>
        <w:contextualSpacing/>
        <w:jc w:val="both"/>
        <w:rPr>
          <w:rFonts w:ascii="Cambria" w:hAnsi="Cambria"/>
          <w:i/>
          <w:sz w:val="20"/>
          <w:szCs w:val="20"/>
        </w:rPr>
      </w:pPr>
      <w:r w:rsidRPr="00D713DD">
        <w:rPr>
          <w:rFonts w:ascii="Cambria" w:hAnsi="Cambria"/>
          <w:b/>
          <w:sz w:val="20"/>
          <w:szCs w:val="20"/>
        </w:rPr>
        <w:t xml:space="preserve">Paraqitje Grafike 5.3: </w:t>
      </w:r>
      <w:r w:rsidRPr="00D713DD">
        <w:rPr>
          <w:rFonts w:ascii="Cambria" w:hAnsi="Cambria"/>
          <w:i/>
          <w:sz w:val="20"/>
          <w:szCs w:val="20"/>
        </w:rPr>
        <w:t xml:space="preserve">Stoku i borxhit të jashtëm sipas kreditorëve </w:t>
      </w:r>
      <w:r w:rsidR="001B0EEC" w:rsidRPr="00D713DD">
        <w:rPr>
          <w:rFonts w:ascii="Cambria" w:hAnsi="Cambria"/>
          <w:i/>
          <w:sz w:val="20"/>
          <w:szCs w:val="20"/>
        </w:rPr>
        <w:t>(</w:t>
      </w:r>
      <w:r w:rsidR="0095795C" w:rsidRPr="00D713DD">
        <w:rPr>
          <w:rFonts w:ascii="Cambria" w:hAnsi="Cambria"/>
          <w:i/>
          <w:sz w:val="20"/>
          <w:szCs w:val="20"/>
        </w:rPr>
        <w:t>2017</w:t>
      </w:r>
      <w:r w:rsidR="00964A25" w:rsidRPr="00D713DD">
        <w:rPr>
          <w:rFonts w:ascii="Cambria" w:hAnsi="Cambria"/>
          <w:i/>
          <w:sz w:val="20"/>
          <w:szCs w:val="20"/>
        </w:rPr>
        <w:t xml:space="preserve">- </w:t>
      </w:r>
      <w:r w:rsidR="00143AD5" w:rsidRPr="00D713DD">
        <w:rPr>
          <w:rFonts w:ascii="Cambria" w:hAnsi="Cambria"/>
          <w:i/>
          <w:sz w:val="20"/>
          <w:szCs w:val="20"/>
        </w:rPr>
        <w:t>202</w:t>
      </w:r>
      <w:r w:rsidR="0095795C" w:rsidRPr="00D713DD">
        <w:rPr>
          <w:rFonts w:ascii="Cambria" w:hAnsi="Cambria"/>
          <w:i/>
          <w:sz w:val="20"/>
          <w:szCs w:val="20"/>
        </w:rPr>
        <w:t>2</w:t>
      </w:r>
      <w:r w:rsidR="001B0EEC" w:rsidRPr="00D713DD">
        <w:rPr>
          <w:rFonts w:ascii="Cambria" w:hAnsi="Cambria"/>
          <w:i/>
          <w:sz w:val="20"/>
          <w:szCs w:val="20"/>
        </w:rPr>
        <w:t>)</w:t>
      </w:r>
    </w:p>
    <w:p w14:paraId="5C94F328" w14:textId="424BBBC8" w:rsidR="00CB6C62" w:rsidRPr="00D713DD" w:rsidRDefault="00CC04EE" w:rsidP="00143AD5">
      <w:pPr>
        <w:spacing w:after="0" w:line="240" w:lineRule="auto"/>
        <w:contextualSpacing/>
        <w:jc w:val="both"/>
        <w:rPr>
          <w:rFonts w:ascii="Cambria" w:hAnsi="Cambria"/>
          <w:i/>
          <w:sz w:val="20"/>
          <w:szCs w:val="20"/>
        </w:rPr>
      </w:pPr>
      <w:r>
        <w:rPr>
          <w:rFonts w:ascii="Cambria" w:hAnsi="Cambria"/>
          <w:i/>
          <w:noProof/>
          <w:sz w:val="20"/>
          <w:szCs w:val="20"/>
          <w:lang w:val="en-US"/>
        </w:rPr>
        <w:drawing>
          <wp:inline distT="0" distB="0" distL="0" distR="0" wp14:anchorId="53F6CE3E" wp14:editId="6ACE4A4A">
            <wp:extent cx="5779698" cy="2761291"/>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6886" cy="2779058"/>
                    </a:xfrm>
                    <a:prstGeom prst="rect">
                      <a:avLst/>
                    </a:prstGeom>
                    <a:noFill/>
                  </pic:spPr>
                </pic:pic>
              </a:graphicData>
            </a:graphic>
          </wp:inline>
        </w:drawing>
      </w:r>
    </w:p>
    <w:p w14:paraId="5941201E" w14:textId="77777777" w:rsidR="00823E9A" w:rsidRPr="009A6B42" w:rsidRDefault="00823E9A" w:rsidP="00823E9A">
      <w:pPr>
        <w:spacing w:after="0" w:line="240" w:lineRule="auto"/>
        <w:ind w:right="-46"/>
        <w:rPr>
          <w:rFonts w:ascii="Cambria" w:hAnsi="Cambria"/>
          <w:i/>
          <w:sz w:val="20"/>
          <w:szCs w:val="20"/>
        </w:rPr>
      </w:pPr>
      <w:r w:rsidRPr="009A6B42">
        <w:rPr>
          <w:rFonts w:ascii="Cambria" w:hAnsi="Cambria"/>
          <w:i/>
          <w:sz w:val="20"/>
          <w:szCs w:val="20"/>
        </w:rPr>
        <w:t>*Përfshihet borxhi shtetëror dhe borxhi shtetëror i garantuar</w:t>
      </w:r>
    </w:p>
    <w:p w14:paraId="327A0FE4" w14:textId="77777777" w:rsidR="006109EB" w:rsidRPr="009A6B42" w:rsidRDefault="006109EB" w:rsidP="00DD7874">
      <w:pPr>
        <w:spacing w:after="0" w:line="240" w:lineRule="auto"/>
        <w:ind w:right="-46"/>
        <w:rPr>
          <w:rFonts w:ascii="Cambria" w:eastAsia="Times New Roman" w:hAnsi="Cambria"/>
          <w:b/>
          <w:noProof/>
          <w:sz w:val="20"/>
          <w:szCs w:val="20"/>
        </w:rPr>
      </w:pPr>
    </w:p>
    <w:p w14:paraId="0FC07460" w14:textId="77777777" w:rsidR="00AF7DA5" w:rsidRPr="009A6B42" w:rsidRDefault="00AF7DA5" w:rsidP="00DD7874">
      <w:pPr>
        <w:spacing w:after="0" w:line="240" w:lineRule="auto"/>
        <w:ind w:right="-46"/>
        <w:rPr>
          <w:rFonts w:ascii="Cambria" w:eastAsia="Times New Roman" w:hAnsi="Cambria"/>
          <w:b/>
          <w:noProof/>
          <w:sz w:val="20"/>
          <w:szCs w:val="20"/>
        </w:rPr>
      </w:pPr>
    </w:p>
    <w:p w14:paraId="653D327B" w14:textId="77777777" w:rsidR="00046697" w:rsidRPr="009A6B42" w:rsidRDefault="00046697" w:rsidP="00046697">
      <w:pPr>
        <w:pStyle w:val="ListParagraph"/>
        <w:numPr>
          <w:ilvl w:val="0"/>
          <w:numId w:val="6"/>
        </w:numPr>
        <w:spacing w:after="0" w:line="240" w:lineRule="auto"/>
        <w:ind w:left="567" w:right="-46" w:hanging="567"/>
        <w:rPr>
          <w:rFonts w:ascii="Cambria" w:eastAsia="Times New Roman" w:hAnsi="Cambria"/>
          <w:b/>
          <w:noProof/>
        </w:rPr>
      </w:pPr>
      <w:r w:rsidRPr="009A6B42">
        <w:rPr>
          <w:rFonts w:ascii="Cambria" w:eastAsia="Times New Roman" w:hAnsi="Cambria"/>
          <w:b/>
          <w:noProof/>
        </w:rPr>
        <w:t>DISBURSIMET E BORXHIT TË JASHTËM</w:t>
      </w:r>
    </w:p>
    <w:p w14:paraId="77C68DF1" w14:textId="77777777" w:rsidR="00046697" w:rsidRPr="00D713DD" w:rsidRDefault="00046697" w:rsidP="00046697">
      <w:pPr>
        <w:spacing w:after="0" w:line="240" w:lineRule="auto"/>
        <w:ind w:right="-46"/>
        <w:rPr>
          <w:rFonts w:ascii="Cambria" w:hAnsi="Cambria"/>
          <w:b/>
          <w:sz w:val="20"/>
          <w:szCs w:val="20"/>
          <w:highlight w:val="yellow"/>
        </w:rPr>
      </w:pPr>
    </w:p>
    <w:p w14:paraId="15927B90" w14:textId="4B2F0819" w:rsidR="007F54D1" w:rsidRPr="009A6B42" w:rsidRDefault="00046697" w:rsidP="00823E9A">
      <w:pPr>
        <w:spacing w:after="0" w:line="240" w:lineRule="auto"/>
        <w:ind w:right="-46"/>
        <w:rPr>
          <w:rFonts w:ascii="Cambria" w:hAnsi="Cambria"/>
          <w:i/>
          <w:sz w:val="20"/>
          <w:szCs w:val="20"/>
        </w:rPr>
      </w:pPr>
      <w:r w:rsidRPr="009A6B42">
        <w:rPr>
          <w:rFonts w:ascii="Cambria" w:hAnsi="Cambria"/>
          <w:b/>
          <w:sz w:val="20"/>
          <w:szCs w:val="20"/>
        </w:rPr>
        <w:t xml:space="preserve">Tabela 6.0: </w:t>
      </w:r>
      <w:r w:rsidRPr="009A6B42">
        <w:rPr>
          <w:rFonts w:ascii="Cambria" w:hAnsi="Cambria"/>
          <w:i/>
          <w:sz w:val="20"/>
          <w:szCs w:val="20"/>
        </w:rPr>
        <w:t>Dis</w:t>
      </w:r>
      <w:r w:rsidR="00B633CB" w:rsidRPr="009A6B42">
        <w:rPr>
          <w:rFonts w:ascii="Cambria" w:hAnsi="Cambria"/>
          <w:i/>
          <w:sz w:val="20"/>
          <w:szCs w:val="20"/>
        </w:rPr>
        <w:t>bursimet sipas kreditorëve</w:t>
      </w:r>
      <w:r w:rsidR="00823E9A" w:rsidRPr="009A6B42">
        <w:rPr>
          <w:rFonts w:ascii="Cambria" w:hAnsi="Cambria"/>
          <w:i/>
          <w:sz w:val="20"/>
          <w:szCs w:val="20"/>
        </w:rPr>
        <w:t xml:space="preserve"> </w:t>
      </w:r>
      <w:r w:rsidR="001B0EEC" w:rsidRPr="009A6B42">
        <w:rPr>
          <w:rFonts w:ascii="Cambria" w:hAnsi="Cambria"/>
          <w:i/>
          <w:sz w:val="20"/>
          <w:szCs w:val="20"/>
        </w:rPr>
        <w:t>(</w:t>
      </w:r>
      <w:r w:rsidR="0095795C" w:rsidRPr="009A6B42">
        <w:rPr>
          <w:rFonts w:ascii="Cambria" w:hAnsi="Cambria"/>
          <w:i/>
          <w:sz w:val="20"/>
          <w:szCs w:val="20"/>
        </w:rPr>
        <w:t>2017</w:t>
      </w:r>
      <w:r w:rsidR="00750CC0" w:rsidRPr="009A6B42">
        <w:rPr>
          <w:rFonts w:ascii="Cambria" w:hAnsi="Cambria"/>
          <w:i/>
          <w:sz w:val="20"/>
          <w:szCs w:val="20"/>
        </w:rPr>
        <w:t>- 202</w:t>
      </w:r>
      <w:r w:rsidR="0095795C" w:rsidRPr="009A6B42">
        <w:rPr>
          <w:rFonts w:ascii="Cambria" w:hAnsi="Cambria"/>
          <w:i/>
          <w:sz w:val="20"/>
          <w:szCs w:val="20"/>
        </w:rPr>
        <w:t>2</w:t>
      </w:r>
      <w:r w:rsidR="001B0EEC" w:rsidRPr="009A6B42">
        <w:rPr>
          <w:rFonts w:ascii="Cambria" w:hAnsi="Cambria"/>
          <w:i/>
          <w:sz w:val="20"/>
          <w:szCs w:val="20"/>
        </w:rPr>
        <w:t>)</w:t>
      </w:r>
      <w:r w:rsidR="006109EB" w:rsidRPr="009A6B42">
        <w:rPr>
          <w:rFonts w:ascii="Cambria" w:hAnsi="Cambria"/>
          <w:i/>
          <w:sz w:val="20"/>
          <w:szCs w:val="20"/>
        </w:rPr>
        <w:t xml:space="preserve">                                                    </w:t>
      </w:r>
      <w:r w:rsidR="00750CC0" w:rsidRPr="009A6B42">
        <w:rPr>
          <w:rFonts w:ascii="Cambria" w:hAnsi="Cambria"/>
          <w:i/>
          <w:sz w:val="20"/>
          <w:szCs w:val="20"/>
        </w:rPr>
        <w:t xml:space="preserve">   </w:t>
      </w:r>
      <w:r w:rsidR="00AC7648">
        <w:rPr>
          <w:rFonts w:ascii="Cambria" w:hAnsi="Cambria"/>
          <w:i/>
          <w:sz w:val="20"/>
          <w:szCs w:val="20"/>
        </w:rPr>
        <w:t xml:space="preserve">         </w:t>
      </w:r>
      <w:r w:rsidR="00750CC0" w:rsidRPr="009A6B42">
        <w:rPr>
          <w:rFonts w:ascii="Cambria" w:hAnsi="Cambria"/>
          <w:i/>
          <w:sz w:val="20"/>
          <w:szCs w:val="20"/>
        </w:rPr>
        <w:t xml:space="preserve">   </w:t>
      </w:r>
      <w:r w:rsidRPr="009A6B42">
        <w:rPr>
          <w:rFonts w:ascii="Cambria" w:hAnsi="Cambria"/>
          <w:i/>
          <w:sz w:val="20"/>
          <w:szCs w:val="20"/>
        </w:rPr>
        <w:t>(në milion Euro)</w:t>
      </w:r>
      <w:r w:rsidR="007F54D1" w:rsidRPr="009A6B42">
        <w:rPr>
          <w:sz w:val="20"/>
        </w:rPr>
        <w:fldChar w:fldCharType="begin"/>
      </w:r>
      <w:r w:rsidR="007F54D1" w:rsidRPr="009A6B42">
        <w:rPr>
          <w:sz w:val="20"/>
        </w:rPr>
        <w:instrText xml:space="preserve"> LINK Excel.Sheet.12 "C:\\Users\\sidiola.basho\\Desktop\\Analiza 6M 2022\\Draft Grafiket per analizen SAMB 2022-2024 21.06.2022.xlsx" "Disbursimet BJ sipas Sektor (2!R22C1:R26C9" \a \f 4 \h  \* MERGEFORMAT </w:instrText>
      </w:r>
      <w:r w:rsidR="007F54D1" w:rsidRPr="009A6B42">
        <w:rPr>
          <w:sz w:val="20"/>
        </w:rPr>
        <w:fldChar w:fldCharType="separate"/>
      </w:r>
    </w:p>
    <w:p w14:paraId="04E70BD1" w14:textId="3C8E3CCB" w:rsidR="009A6B42" w:rsidRPr="009A6B42" w:rsidRDefault="00AC7648" w:rsidP="00403E80">
      <w:pPr>
        <w:spacing w:after="0" w:line="240" w:lineRule="auto"/>
        <w:ind w:right="-46"/>
        <w:rPr>
          <w:rFonts w:ascii="Cambria" w:hAnsi="Cambria"/>
          <w:i/>
          <w:sz w:val="18"/>
          <w:szCs w:val="20"/>
        </w:rPr>
      </w:pPr>
      <w:r w:rsidRPr="00AC7648">
        <w:rPr>
          <w:noProof/>
          <w:lang w:val="en-US"/>
        </w:rPr>
        <w:drawing>
          <wp:inline distT="0" distB="0" distL="0" distR="0" wp14:anchorId="37E0B0FE" wp14:editId="764188EE">
            <wp:extent cx="5822830" cy="738505"/>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5632" cy="738860"/>
                    </a:xfrm>
                    <a:prstGeom prst="rect">
                      <a:avLst/>
                    </a:prstGeom>
                    <a:noFill/>
                    <a:ln>
                      <a:noFill/>
                    </a:ln>
                  </pic:spPr>
                </pic:pic>
              </a:graphicData>
            </a:graphic>
          </wp:inline>
        </w:drawing>
      </w:r>
    </w:p>
    <w:p w14:paraId="3DA903C3" w14:textId="77777777" w:rsidR="00403E80" w:rsidRPr="009A6B42" w:rsidRDefault="007F54D1" w:rsidP="00403E80">
      <w:pPr>
        <w:spacing w:after="0" w:line="240" w:lineRule="auto"/>
        <w:ind w:right="-46"/>
        <w:rPr>
          <w:rFonts w:ascii="Cambria" w:eastAsia="Times New Roman" w:hAnsi="Cambria"/>
          <w:b/>
          <w:noProof/>
        </w:rPr>
      </w:pPr>
      <w:r w:rsidRPr="009A6B42">
        <w:rPr>
          <w:rFonts w:ascii="Cambria" w:hAnsi="Cambria"/>
          <w:i/>
          <w:sz w:val="18"/>
          <w:szCs w:val="20"/>
        </w:rPr>
        <w:fldChar w:fldCharType="end"/>
      </w:r>
      <w:r w:rsidR="00403E80" w:rsidRPr="009A6B42">
        <w:rPr>
          <w:rFonts w:ascii="Cambria" w:hAnsi="Cambria"/>
          <w:i/>
          <w:sz w:val="20"/>
          <w:szCs w:val="20"/>
        </w:rPr>
        <w:t>*Përfshihet borxhi shtetëror dhe borxhi shtetëror i garantuar</w:t>
      </w:r>
    </w:p>
    <w:p w14:paraId="17406105" w14:textId="69E33522" w:rsidR="002320D4" w:rsidRPr="009A6B42" w:rsidRDefault="0095795C" w:rsidP="00823E9A">
      <w:pPr>
        <w:spacing w:after="0" w:line="240" w:lineRule="auto"/>
        <w:ind w:right="-46"/>
        <w:rPr>
          <w:rFonts w:ascii="Cambria" w:hAnsi="Cambria"/>
          <w:i/>
          <w:sz w:val="18"/>
          <w:szCs w:val="20"/>
        </w:rPr>
      </w:pPr>
      <w:r w:rsidRPr="009A6B42">
        <w:rPr>
          <w:noProof/>
          <w:lang w:val="en-GB" w:eastAsia="en-GB"/>
        </w:rPr>
        <w:fldChar w:fldCharType="begin"/>
      </w:r>
      <w:r w:rsidRPr="009A6B42">
        <w:rPr>
          <w:noProof/>
          <w:lang w:val="en-GB" w:eastAsia="en-GB"/>
        </w:rPr>
        <w:instrText xml:space="preserve"> LINK </w:instrText>
      </w:r>
      <w:r w:rsidR="00A23C7C" w:rsidRPr="009A6B42">
        <w:rPr>
          <w:noProof/>
          <w:lang w:val="en-GB" w:eastAsia="en-GB"/>
        </w:rPr>
        <w:instrText xml:space="preserve">Excel.Sheet.12 "C:\\Users\\sidiola.basho\\Desktop\\Analiza e 3mujorit 2022\\Draft Grafiket per analizen SAMB 2022-2024 Qershor 2022.xlsx" "Disbursimet BJ sipas Sektor (2!R22C1:R26C8" </w:instrText>
      </w:r>
      <w:r w:rsidRPr="009A6B42">
        <w:rPr>
          <w:noProof/>
          <w:lang w:val="en-GB" w:eastAsia="en-GB"/>
        </w:rPr>
        <w:instrText xml:space="preserve">\a \f 4 \h  \* MERGEFORMAT </w:instrText>
      </w:r>
      <w:r w:rsidRPr="009A6B42">
        <w:rPr>
          <w:noProof/>
          <w:lang w:val="en-GB" w:eastAsia="en-GB"/>
        </w:rPr>
        <w:fldChar w:fldCharType="separate"/>
      </w:r>
    </w:p>
    <w:p w14:paraId="24CD2F61" w14:textId="684517A5" w:rsidR="00823E9A" w:rsidRPr="009A6B42" w:rsidRDefault="0095795C" w:rsidP="00823E9A">
      <w:pPr>
        <w:spacing w:after="0" w:line="240" w:lineRule="auto"/>
        <w:ind w:right="-46"/>
        <w:rPr>
          <w:rFonts w:ascii="Cambria" w:eastAsia="Times New Roman" w:hAnsi="Cambria"/>
          <w:b/>
          <w:noProof/>
        </w:rPr>
      </w:pPr>
      <w:r w:rsidRPr="009A6B42">
        <w:rPr>
          <w:noProof/>
          <w:lang w:val="en-GB" w:eastAsia="en-GB"/>
        </w:rPr>
        <w:fldChar w:fldCharType="end"/>
      </w:r>
    </w:p>
    <w:p w14:paraId="217B38B2" w14:textId="77777777" w:rsidR="0095795C" w:rsidRPr="009A6B42" w:rsidRDefault="0095795C" w:rsidP="00046697">
      <w:pPr>
        <w:spacing w:after="0" w:line="240" w:lineRule="auto"/>
        <w:ind w:right="-46"/>
        <w:rPr>
          <w:rFonts w:ascii="Cambria" w:hAnsi="Cambria"/>
          <w:b/>
          <w:sz w:val="20"/>
          <w:szCs w:val="20"/>
        </w:rPr>
      </w:pPr>
    </w:p>
    <w:p w14:paraId="54F21BE4" w14:textId="77777777" w:rsidR="00536470" w:rsidRDefault="00536470" w:rsidP="00823E9A">
      <w:pPr>
        <w:spacing w:after="0" w:line="240" w:lineRule="auto"/>
        <w:ind w:right="-46"/>
        <w:rPr>
          <w:rFonts w:ascii="Cambria" w:hAnsi="Cambria"/>
          <w:b/>
          <w:sz w:val="20"/>
          <w:szCs w:val="20"/>
        </w:rPr>
      </w:pPr>
    </w:p>
    <w:p w14:paraId="6724E1AD" w14:textId="77777777" w:rsidR="00536470" w:rsidRDefault="00536470" w:rsidP="00823E9A">
      <w:pPr>
        <w:spacing w:after="0" w:line="240" w:lineRule="auto"/>
        <w:ind w:right="-46"/>
        <w:rPr>
          <w:rFonts w:ascii="Cambria" w:hAnsi="Cambria"/>
          <w:b/>
          <w:sz w:val="20"/>
          <w:szCs w:val="20"/>
        </w:rPr>
      </w:pPr>
    </w:p>
    <w:p w14:paraId="0CF2A09D" w14:textId="77777777" w:rsidR="00536470" w:rsidRDefault="00536470" w:rsidP="00823E9A">
      <w:pPr>
        <w:spacing w:after="0" w:line="240" w:lineRule="auto"/>
        <w:ind w:right="-46"/>
        <w:rPr>
          <w:rFonts w:ascii="Cambria" w:hAnsi="Cambria"/>
          <w:b/>
          <w:sz w:val="20"/>
          <w:szCs w:val="20"/>
        </w:rPr>
      </w:pPr>
    </w:p>
    <w:p w14:paraId="530856B0" w14:textId="77777777" w:rsidR="00536470" w:rsidRDefault="00536470" w:rsidP="00823E9A">
      <w:pPr>
        <w:spacing w:after="0" w:line="240" w:lineRule="auto"/>
        <w:ind w:right="-46"/>
        <w:rPr>
          <w:rFonts w:ascii="Cambria" w:hAnsi="Cambria"/>
          <w:b/>
          <w:sz w:val="20"/>
          <w:szCs w:val="20"/>
        </w:rPr>
      </w:pPr>
    </w:p>
    <w:p w14:paraId="01F28BDD" w14:textId="77777777" w:rsidR="00536470" w:rsidRDefault="00536470" w:rsidP="00823E9A">
      <w:pPr>
        <w:spacing w:after="0" w:line="240" w:lineRule="auto"/>
        <w:ind w:right="-46"/>
        <w:rPr>
          <w:rFonts w:ascii="Cambria" w:hAnsi="Cambria"/>
          <w:b/>
          <w:sz w:val="20"/>
          <w:szCs w:val="20"/>
        </w:rPr>
      </w:pPr>
    </w:p>
    <w:p w14:paraId="2BE06674" w14:textId="27799FA6" w:rsidR="0092387A" w:rsidRPr="009A6B42" w:rsidRDefault="00046697" w:rsidP="00823E9A">
      <w:pPr>
        <w:spacing w:after="0" w:line="240" w:lineRule="auto"/>
        <w:ind w:right="-46"/>
        <w:rPr>
          <w:rFonts w:ascii="Cambria" w:hAnsi="Cambria"/>
          <w:i/>
          <w:sz w:val="20"/>
          <w:szCs w:val="20"/>
        </w:rPr>
      </w:pPr>
      <w:r w:rsidRPr="009A6B42">
        <w:rPr>
          <w:rFonts w:ascii="Cambria" w:hAnsi="Cambria"/>
          <w:b/>
          <w:sz w:val="20"/>
          <w:szCs w:val="20"/>
        </w:rPr>
        <w:t xml:space="preserve">Tabela 6.1: </w:t>
      </w:r>
      <w:r w:rsidRPr="009A6B42">
        <w:rPr>
          <w:rFonts w:ascii="Cambria" w:hAnsi="Cambria"/>
          <w:i/>
          <w:sz w:val="20"/>
          <w:szCs w:val="20"/>
        </w:rPr>
        <w:t>Disbursimet si</w:t>
      </w:r>
      <w:r w:rsidR="00E232CB" w:rsidRPr="009A6B42">
        <w:rPr>
          <w:rFonts w:ascii="Cambria" w:hAnsi="Cambria"/>
          <w:i/>
          <w:sz w:val="20"/>
          <w:szCs w:val="20"/>
        </w:rPr>
        <w:t xml:space="preserve">pas sektorëve ekonomik </w:t>
      </w:r>
      <w:r w:rsidR="001B0EEC" w:rsidRPr="009A6B42">
        <w:rPr>
          <w:rFonts w:ascii="Cambria" w:hAnsi="Cambria"/>
          <w:i/>
          <w:sz w:val="20"/>
          <w:szCs w:val="20"/>
        </w:rPr>
        <w:t>(</w:t>
      </w:r>
      <w:r w:rsidR="0095795C" w:rsidRPr="009A6B42">
        <w:rPr>
          <w:rFonts w:ascii="Cambria" w:hAnsi="Cambria"/>
          <w:i/>
          <w:sz w:val="20"/>
          <w:szCs w:val="20"/>
        </w:rPr>
        <w:t>2017</w:t>
      </w:r>
      <w:r w:rsidR="00AC7648">
        <w:rPr>
          <w:rFonts w:ascii="Cambria" w:hAnsi="Cambria"/>
          <w:i/>
          <w:sz w:val="20"/>
          <w:szCs w:val="20"/>
        </w:rPr>
        <w:t>-</w:t>
      </w:r>
      <w:r w:rsidR="00750CC0" w:rsidRPr="009A6B42">
        <w:rPr>
          <w:rFonts w:ascii="Cambria" w:hAnsi="Cambria"/>
          <w:i/>
          <w:sz w:val="20"/>
          <w:szCs w:val="20"/>
        </w:rPr>
        <w:t xml:space="preserve"> 202</w:t>
      </w:r>
      <w:r w:rsidR="0095795C" w:rsidRPr="009A6B42">
        <w:rPr>
          <w:rFonts w:ascii="Cambria" w:hAnsi="Cambria"/>
          <w:i/>
          <w:sz w:val="20"/>
          <w:szCs w:val="20"/>
        </w:rPr>
        <w:t>2</w:t>
      </w:r>
      <w:r w:rsidR="001B0EEC" w:rsidRPr="009A6B42">
        <w:rPr>
          <w:rFonts w:ascii="Cambria" w:hAnsi="Cambria"/>
          <w:i/>
          <w:sz w:val="20"/>
          <w:szCs w:val="20"/>
        </w:rPr>
        <w:t>)</w:t>
      </w:r>
      <w:r w:rsidR="006109EB" w:rsidRPr="009A6B42">
        <w:rPr>
          <w:rFonts w:ascii="Cambria" w:hAnsi="Cambria"/>
          <w:i/>
          <w:sz w:val="20"/>
          <w:szCs w:val="20"/>
        </w:rPr>
        <w:t xml:space="preserve">                 </w:t>
      </w:r>
      <w:r w:rsidR="00AC7648">
        <w:rPr>
          <w:rFonts w:ascii="Cambria" w:hAnsi="Cambria"/>
          <w:i/>
          <w:sz w:val="20"/>
          <w:szCs w:val="20"/>
        </w:rPr>
        <w:t xml:space="preserve">      </w:t>
      </w:r>
      <w:r w:rsidR="006109EB" w:rsidRPr="009A6B42">
        <w:rPr>
          <w:rFonts w:ascii="Cambria" w:hAnsi="Cambria"/>
          <w:i/>
          <w:sz w:val="20"/>
          <w:szCs w:val="20"/>
        </w:rPr>
        <w:t xml:space="preserve">                     </w:t>
      </w:r>
      <w:r w:rsidR="00750CC0" w:rsidRPr="009A6B42">
        <w:rPr>
          <w:rFonts w:ascii="Cambria" w:hAnsi="Cambria"/>
          <w:i/>
          <w:sz w:val="20"/>
          <w:szCs w:val="20"/>
        </w:rPr>
        <w:t xml:space="preserve">  </w:t>
      </w:r>
      <w:r w:rsidR="00AC7648">
        <w:rPr>
          <w:rFonts w:ascii="Cambria" w:hAnsi="Cambria"/>
          <w:i/>
          <w:sz w:val="20"/>
          <w:szCs w:val="20"/>
        </w:rPr>
        <w:t xml:space="preserve">     </w:t>
      </w:r>
      <w:r w:rsidR="00750CC0" w:rsidRPr="009A6B42">
        <w:rPr>
          <w:rFonts w:ascii="Cambria" w:hAnsi="Cambria"/>
          <w:i/>
          <w:sz w:val="20"/>
          <w:szCs w:val="20"/>
        </w:rPr>
        <w:t xml:space="preserve"> </w:t>
      </w:r>
      <w:r w:rsidR="006109EB" w:rsidRPr="009A6B42">
        <w:rPr>
          <w:rFonts w:ascii="Cambria" w:hAnsi="Cambria"/>
          <w:i/>
          <w:sz w:val="20"/>
          <w:szCs w:val="20"/>
        </w:rPr>
        <w:t xml:space="preserve">  </w:t>
      </w:r>
      <w:r w:rsidRPr="009A6B42">
        <w:rPr>
          <w:rFonts w:ascii="Cambria" w:hAnsi="Cambria"/>
          <w:i/>
          <w:sz w:val="20"/>
          <w:szCs w:val="20"/>
        </w:rPr>
        <w:t>(në milion Euro)</w:t>
      </w:r>
      <w:r w:rsidR="0092387A" w:rsidRPr="009A6B42">
        <w:fldChar w:fldCharType="begin"/>
      </w:r>
      <w:r w:rsidR="0092387A" w:rsidRPr="009A6B42">
        <w:instrText xml:space="preserve"> LINK Excel.Sheet.12 "C:\\Users\\sidiola.basho\\Desktop\\Analiza 6M 2022\\Draft Grafiket per analizen SAMB 2022-2024 21.06.2022.xlsx" "Disbursimet BJ sipas Sektor (2!R2C1:R19C9" \a \f 4 \h  \* MERGEFORMAT </w:instrText>
      </w:r>
      <w:r w:rsidR="0092387A" w:rsidRPr="009A6B42">
        <w:fldChar w:fldCharType="separate"/>
      </w:r>
    </w:p>
    <w:p w14:paraId="0FEE7656" w14:textId="1EFBDE71" w:rsidR="009A6B42" w:rsidRPr="009A6B42" w:rsidRDefault="00AC7648" w:rsidP="00823E9A">
      <w:pPr>
        <w:spacing w:after="0" w:line="240" w:lineRule="auto"/>
        <w:ind w:right="-46"/>
        <w:rPr>
          <w:rFonts w:ascii="Cambria" w:hAnsi="Cambria"/>
          <w:i/>
          <w:sz w:val="20"/>
          <w:szCs w:val="20"/>
        </w:rPr>
      </w:pPr>
      <w:r w:rsidRPr="00AC7648">
        <w:rPr>
          <w:noProof/>
          <w:lang w:val="en-US"/>
        </w:rPr>
        <w:drawing>
          <wp:inline distT="0" distB="0" distL="0" distR="0" wp14:anchorId="1F09B470" wp14:editId="187DA6ED">
            <wp:extent cx="5840083" cy="2742941"/>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4646" cy="2754478"/>
                    </a:xfrm>
                    <a:prstGeom prst="rect">
                      <a:avLst/>
                    </a:prstGeom>
                    <a:noFill/>
                    <a:ln>
                      <a:noFill/>
                    </a:ln>
                  </pic:spPr>
                </pic:pic>
              </a:graphicData>
            </a:graphic>
          </wp:inline>
        </w:drawing>
      </w:r>
    </w:p>
    <w:p w14:paraId="0F3AC75B" w14:textId="2346B352" w:rsidR="009A6B42" w:rsidRPr="0095795C" w:rsidRDefault="0092387A" w:rsidP="009A6B42">
      <w:pPr>
        <w:spacing w:after="0" w:line="240" w:lineRule="auto"/>
        <w:ind w:right="-46"/>
        <w:rPr>
          <w:rFonts w:ascii="Cambria" w:eastAsia="Times New Roman" w:hAnsi="Cambria"/>
          <w:b/>
          <w:noProof/>
        </w:rPr>
      </w:pPr>
      <w:r w:rsidRPr="009A6B42">
        <w:rPr>
          <w:rFonts w:ascii="Cambria" w:hAnsi="Cambria"/>
          <w:i/>
          <w:sz w:val="20"/>
          <w:szCs w:val="20"/>
        </w:rPr>
        <w:fldChar w:fldCharType="end"/>
      </w:r>
      <w:r w:rsidR="00403E80" w:rsidRPr="009A6B42">
        <w:rPr>
          <w:rFonts w:ascii="Cambria" w:hAnsi="Cambria"/>
          <w:i/>
          <w:sz w:val="20"/>
          <w:szCs w:val="20"/>
        </w:rPr>
        <w:t>*Përfshihet borxhi shtetëror dhe borxhi shtetëror i garantuar</w:t>
      </w:r>
      <w:r w:rsidR="00403E80" w:rsidRPr="009A6B42">
        <w:rPr>
          <w:noProof/>
        </w:rPr>
        <w:t xml:space="preserve"> </w:t>
      </w:r>
    </w:p>
    <w:p w14:paraId="08A13036" w14:textId="7BBF216A" w:rsidR="00823E9A" w:rsidRDefault="00823E9A" w:rsidP="00823E9A">
      <w:pPr>
        <w:spacing w:after="0" w:line="240" w:lineRule="auto"/>
        <w:ind w:right="-46"/>
        <w:rPr>
          <w:rFonts w:ascii="Cambria" w:eastAsia="Times New Roman" w:hAnsi="Cambria"/>
          <w:b/>
          <w:noProof/>
        </w:rPr>
      </w:pPr>
    </w:p>
    <w:p w14:paraId="7E16EA43" w14:textId="77777777" w:rsidR="00315064" w:rsidRDefault="00315064" w:rsidP="00823E9A">
      <w:pPr>
        <w:spacing w:after="0" w:line="240" w:lineRule="auto"/>
        <w:ind w:right="-46"/>
        <w:rPr>
          <w:rFonts w:ascii="Cambria" w:eastAsia="Times New Roman" w:hAnsi="Cambria"/>
          <w:b/>
          <w:noProof/>
        </w:rPr>
      </w:pPr>
    </w:p>
    <w:p w14:paraId="5026147C" w14:textId="77777777" w:rsidR="00315064" w:rsidRDefault="00315064" w:rsidP="00823E9A">
      <w:pPr>
        <w:spacing w:after="0" w:line="240" w:lineRule="auto"/>
        <w:ind w:right="-46"/>
        <w:rPr>
          <w:rFonts w:ascii="Cambria" w:eastAsia="Times New Roman" w:hAnsi="Cambria"/>
          <w:b/>
          <w:noProof/>
        </w:rPr>
      </w:pPr>
    </w:p>
    <w:p w14:paraId="16D6BD4B" w14:textId="77777777" w:rsidR="00315064" w:rsidRPr="00315064" w:rsidRDefault="00315064" w:rsidP="00823E9A">
      <w:pPr>
        <w:spacing w:after="0" w:line="240" w:lineRule="auto"/>
        <w:ind w:right="-46"/>
        <w:rPr>
          <w:rFonts w:ascii="Cambria" w:eastAsia="Times New Roman" w:hAnsi="Cambria"/>
          <w:b/>
          <w:noProof/>
        </w:rPr>
      </w:pPr>
    </w:p>
    <w:sectPr w:rsidR="00315064" w:rsidRPr="00315064" w:rsidSect="003E08A3">
      <w:headerReference w:type="default" r:id="rId44"/>
      <w:footerReference w:type="default" r:id="rId45"/>
      <w:pgSz w:w="11906" w:h="16838"/>
      <w:pgMar w:top="851" w:right="1376" w:bottom="142" w:left="1350" w:header="708" w:footer="2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4C4B7" w14:textId="77777777" w:rsidR="0053565A" w:rsidRDefault="0053565A" w:rsidP="00F6252F">
      <w:pPr>
        <w:spacing w:after="0" w:line="240" w:lineRule="auto"/>
      </w:pPr>
      <w:r>
        <w:separator/>
      </w:r>
    </w:p>
  </w:endnote>
  <w:endnote w:type="continuationSeparator" w:id="0">
    <w:p w14:paraId="050098FA" w14:textId="77777777" w:rsidR="0053565A" w:rsidRDefault="0053565A" w:rsidP="00F62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FuturaStd-Ligh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589762"/>
      <w:docPartObj>
        <w:docPartGallery w:val="Page Numbers (Bottom of Page)"/>
        <w:docPartUnique/>
      </w:docPartObj>
    </w:sdtPr>
    <w:sdtEndPr>
      <w:rPr>
        <w:noProof/>
      </w:rPr>
    </w:sdtEndPr>
    <w:sdtContent>
      <w:p w14:paraId="391AA827" w14:textId="77777777" w:rsidR="00F21A6D" w:rsidRDefault="00F21A6D" w:rsidP="00AD17D0">
        <w:pPr>
          <w:pStyle w:val="Footer"/>
          <w:tabs>
            <w:tab w:val="left" w:pos="1000"/>
            <w:tab w:val="right" w:pos="9192"/>
          </w:tabs>
        </w:pPr>
        <w:r>
          <w:tab/>
        </w:r>
        <w:r>
          <w:tab/>
        </w:r>
        <w:r>
          <w:tab/>
        </w:r>
        <w:r>
          <w:fldChar w:fldCharType="begin"/>
        </w:r>
        <w:r>
          <w:instrText xml:space="preserve"> PAGE   \* MERGEFORMAT </w:instrText>
        </w:r>
        <w:r>
          <w:fldChar w:fldCharType="separate"/>
        </w:r>
        <w:r w:rsidR="00376BE2">
          <w:rPr>
            <w:noProof/>
          </w:rPr>
          <w:t>5</w:t>
        </w:r>
        <w:r>
          <w:rPr>
            <w:noProof/>
          </w:rPr>
          <w:fldChar w:fldCharType="end"/>
        </w:r>
      </w:p>
    </w:sdtContent>
  </w:sdt>
  <w:p w14:paraId="4EB1C0C0" w14:textId="77777777" w:rsidR="00F21A6D" w:rsidRDefault="00F21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A79FE" w14:textId="77777777" w:rsidR="0053565A" w:rsidRDefault="0053565A" w:rsidP="00F6252F">
      <w:pPr>
        <w:spacing w:after="0" w:line="240" w:lineRule="auto"/>
      </w:pPr>
      <w:r>
        <w:separator/>
      </w:r>
    </w:p>
  </w:footnote>
  <w:footnote w:type="continuationSeparator" w:id="0">
    <w:p w14:paraId="6E35111A" w14:textId="77777777" w:rsidR="0053565A" w:rsidRDefault="0053565A" w:rsidP="00F6252F">
      <w:pPr>
        <w:spacing w:after="0" w:line="240" w:lineRule="auto"/>
      </w:pPr>
      <w:r>
        <w:continuationSeparator/>
      </w:r>
    </w:p>
  </w:footnote>
  <w:footnote w:id="1">
    <w:p w14:paraId="33F6037A" w14:textId="0DB44838" w:rsidR="00F21A6D" w:rsidRPr="00952F19" w:rsidRDefault="00F21A6D">
      <w:pPr>
        <w:pStyle w:val="FootnoteText"/>
        <w:rPr>
          <w:rFonts w:ascii="Cambria" w:hAnsi="Cambria"/>
          <w:lang w:val="en-US"/>
        </w:rPr>
      </w:pPr>
      <w:r>
        <w:rPr>
          <w:rStyle w:val="FootnoteReference"/>
        </w:rPr>
        <w:footnoteRef/>
      </w:r>
      <w:r>
        <w:t xml:space="preserve"> </w:t>
      </w:r>
      <w:r w:rsidRPr="00952F19">
        <w:rPr>
          <w:rFonts w:ascii="Cambria" w:hAnsi="Cambria"/>
          <w:lang w:val="en-US"/>
        </w:rPr>
        <w:t xml:space="preserve">PBB </w:t>
      </w:r>
      <w:proofErr w:type="spellStart"/>
      <w:r w:rsidRPr="00952F19">
        <w:rPr>
          <w:rFonts w:ascii="Cambria" w:hAnsi="Cambria"/>
          <w:lang w:val="en-US"/>
        </w:rPr>
        <w:t>në</w:t>
      </w:r>
      <w:proofErr w:type="spellEnd"/>
      <w:r w:rsidRPr="00952F19">
        <w:rPr>
          <w:rFonts w:ascii="Cambria" w:hAnsi="Cambria"/>
          <w:lang w:val="en-US"/>
        </w:rPr>
        <w:t xml:space="preserve"> </w:t>
      </w:r>
      <w:proofErr w:type="spellStart"/>
      <w:r w:rsidRPr="00952F19">
        <w:rPr>
          <w:rFonts w:ascii="Cambria" w:hAnsi="Cambria"/>
          <w:lang w:val="en-US"/>
        </w:rPr>
        <w:t>bazë</w:t>
      </w:r>
      <w:proofErr w:type="spellEnd"/>
      <w:r w:rsidRPr="00952F19">
        <w:rPr>
          <w:rFonts w:ascii="Cambria" w:hAnsi="Cambria"/>
          <w:lang w:val="en-US"/>
        </w:rPr>
        <w:t xml:space="preserve"> </w:t>
      </w:r>
      <w:proofErr w:type="spellStart"/>
      <w:r w:rsidRPr="00952F19">
        <w:rPr>
          <w:rFonts w:ascii="Cambria" w:hAnsi="Cambria"/>
          <w:lang w:val="en-US"/>
        </w:rPr>
        <w:t>vjetore</w:t>
      </w:r>
      <w:proofErr w:type="spellEnd"/>
      <w:r w:rsidRPr="00952F19">
        <w:rPr>
          <w:rFonts w:ascii="Cambria" w:hAnsi="Cambria"/>
          <w:lang w:val="en-US"/>
        </w:rPr>
        <w:t xml:space="preserve">, </w:t>
      </w:r>
      <w:proofErr w:type="spellStart"/>
      <w:r w:rsidRPr="00952F19">
        <w:rPr>
          <w:rFonts w:ascii="Cambria" w:hAnsi="Cambria"/>
          <w:lang w:val="en-US"/>
        </w:rPr>
        <w:t>referuar</w:t>
      </w:r>
      <w:proofErr w:type="spellEnd"/>
      <w:r w:rsidRPr="00952F19">
        <w:rPr>
          <w:rFonts w:ascii="Cambria" w:hAnsi="Cambria"/>
          <w:lang w:val="en-US"/>
        </w:rPr>
        <w:t xml:space="preserve"> </w:t>
      </w:r>
      <w:proofErr w:type="spellStart"/>
      <w:r w:rsidRPr="00952F19">
        <w:rPr>
          <w:rFonts w:ascii="Cambria" w:hAnsi="Cambria"/>
          <w:lang w:val="en-US"/>
        </w:rPr>
        <w:t>të</w:t>
      </w:r>
      <w:proofErr w:type="spellEnd"/>
      <w:r w:rsidRPr="00952F19">
        <w:rPr>
          <w:rFonts w:ascii="Cambria" w:hAnsi="Cambria"/>
          <w:lang w:val="en-US"/>
        </w:rPr>
        <w:t xml:space="preserve"> </w:t>
      </w:r>
      <w:proofErr w:type="spellStart"/>
      <w:r w:rsidRPr="00952F19">
        <w:rPr>
          <w:rFonts w:ascii="Cambria" w:hAnsi="Cambria"/>
          <w:lang w:val="en-US"/>
        </w:rPr>
        <w:t>dhënavë</w:t>
      </w:r>
      <w:proofErr w:type="spellEnd"/>
      <w:r w:rsidRPr="00952F19">
        <w:rPr>
          <w:rFonts w:ascii="Cambria" w:hAnsi="Cambria"/>
          <w:lang w:val="en-US"/>
        </w:rPr>
        <w:t xml:space="preserve"> </w:t>
      </w:r>
      <w:proofErr w:type="spellStart"/>
      <w:proofErr w:type="gramStart"/>
      <w:r w:rsidRPr="00952F19">
        <w:rPr>
          <w:rFonts w:ascii="Cambria" w:hAnsi="Cambria"/>
          <w:lang w:val="en-US"/>
        </w:rPr>
        <w:t>të</w:t>
      </w:r>
      <w:proofErr w:type="spellEnd"/>
      <w:r w:rsidRPr="00952F19">
        <w:rPr>
          <w:rFonts w:ascii="Cambria" w:hAnsi="Cambria"/>
          <w:lang w:val="en-US"/>
        </w:rPr>
        <w:t xml:space="preserve">  INSTAT</w:t>
      </w:r>
      <w:proofErr w:type="gramEnd"/>
      <w:r w:rsidRPr="00952F19">
        <w:rPr>
          <w:rFonts w:ascii="Cambria" w:hAnsi="Cambria"/>
          <w:lang w:val="en-US"/>
        </w:rPr>
        <w:t xml:space="preserve">  </w:t>
      </w:r>
      <w:proofErr w:type="spellStart"/>
      <w:r w:rsidRPr="00952F19">
        <w:rPr>
          <w:rFonts w:ascii="Cambria" w:hAnsi="Cambria"/>
          <w:lang w:val="en-US"/>
        </w:rPr>
        <w:t>datë</w:t>
      </w:r>
      <w:proofErr w:type="spellEnd"/>
      <w:r w:rsidRPr="00952F19">
        <w:rPr>
          <w:rFonts w:ascii="Cambria" w:hAnsi="Cambria"/>
          <w:lang w:val="en-US"/>
        </w:rPr>
        <w:t xml:space="preserve"> 30 March, 2022.</w:t>
      </w:r>
    </w:p>
  </w:footnote>
  <w:footnote w:id="2">
    <w:p w14:paraId="2457F7F7" w14:textId="77777777" w:rsidR="00F21A6D" w:rsidRDefault="00F21A6D" w:rsidP="00F03864">
      <w:pPr>
        <w:pStyle w:val="FootnoteText"/>
      </w:pPr>
      <w:r>
        <w:rPr>
          <w:rStyle w:val="FootnoteReference"/>
        </w:rPr>
        <w:footnoteRef/>
      </w:r>
      <w:r>
        <w:t xml:space="preserve"> </w:t>
      </w:r>
      <w:hyperlink r:id="rId1" w:history="1">
        <w:r w:rsidRPr="002F4884">
          <w:rPr>
            <w:rStyle w:val="Hyperlink"/>
          </w:rPr>
          <w:t>https://financa.gov.al/plani-vjetor-i-huamarrjes-2023/</w:t>
        </w:r>
      </w:hyperlink>
    </w:p>
    <w:p w14:paraId="5DD09293" w14:textId="77777777" w:rsidR="00F21A6D" w:rsidRDefault="00F21A6D" w:rsidP="00F03864">
      <w:pPr>
        <w:pStyle w:val="FootnoteText"/>
      </w:pPr>
    </w:p>
    <w:p w14:paraId="2593F50F" w14:textId="77777777" w:rsidR="00F21A6D" w:rsidRDefault="00F21A6D" w:rsidP="00F03864">
      <w:pPr>
        <w:pStyle w:val="FootnoteText"/>
      </w:pPr>
    </w:p>
  </w:footnote>
  <w:footnote w:id="3">
    <w:p w14:paraId="49719FE3" w14:textId="77777777" w:rsidR="00F21A6D" w:rsidRPr="00057778" w:rsidRDefault="00F21A6D" w:rsidP="00B236A6">
      <w:pPr>
        <w:pStyle w:val="FootnoteText"/>
        <w:ind w:left="720" w:hanging="720"/>
        <w:jc w:val="both"/>
        <w:rPr>
          <w:rFonts w:ascii="Times New Roman" w:hAnsi="Times New Roman"/>
          <w:lang w:val="en-US"/>
        </w:rPr>
      </w:pPr>
      <w:r w:rsidRPr="00057778">
        <w:rPr>
          <w:rStyle w:val="FootnoteReference"/>
          <w:rFonts w:ascii="Times New Roman" w:hAnsi="Times New Roman"/>
        </w:rPr>
        <w:footnoteRef/>
      </w:r>
      <w:r w:rsidRPr="00057778">
        <w:rPr>
          <w:rFonts w:ascii="Times New Roman" w:hAnsi="Times New Roman"/>
        </w:rPr>
        <w:t xml:space="preserve"> </w:t>
      </w:r>
      <w:r w:rsidRPr="00057778">
        <w:rPr>
          <w:rFonts w:ascii="Times New Roman" w:hAnsi="Times New Roman"/>
          <w:lang w:val="en-US"/>
        </w:rPr>
        <w:t xml:space="preserve">I </w:t>
      </w:r>
      <w:proofErr w:type="spellStart"/>
      <w:r w:rsidRPr="00057778">
        <w:rPr>
          <w:rFonts w:ascii="Times New Roman" w:hAnsi="Times New Roman"/>
          <w:lang w:val="en-US"/>
        </w:rPr>
        <w:t>referohet</w:t>
      </w:r>
      <w:proofErr w:type="spellEnd"/>
      <w:r w:rsidRPr="00057778">
        <w:rPr>
          <w:rFonts w:ascii="Times New Roman" w:hAnsi="Times New Roman"/>
          <w:lang w:val="en-US"/>
        </w:rPr>
        <w:t xml:space="preserve"> </w:t>
      </w:r>
      <w:proofErr w:type="spellStart"/>
      <w:r w:rsidRPr="00057778">
        <w:rPr>
          <w:rFonts w:ascii="Times New Roman" w:hAnsi="Times New Roman"/>
          <w:lang w:val="en-US"/>
        </w:rPr>
        <w:t>normës</w:t>
      </w:r>
      <w:proofErr w:type="spellEnd"/>
      <w:r w:rsidRPr="00057778">
        <w:rPr>
          <w:rFonts w:ascii="Times New Roman" w:hAnsi="Times New Roman"/>
          <w:lang w:val="en-US"/>
        </w:rPr>
        <w:t xml:space="preserve"> </w:t>
      </w:r>
      <w:proofErr w:type="spellStart"/>
      <w:r w:rsidRPr="00057778">
        <w:rPr>
          <w:rFonts w:ascii="Times New Roman" w:hAnsi="Times New Roman"/>
          <w:lang w:val="en-US"/>
        </w:rPr>
        <w:t>mesatare</w:t>
      </w:r>
      <w:proofErr w:type="spellEnd"/>
      <w:r w:rsidRPr="00057778">
        <w:rPr>
          <w:rFonts w:ascii="Times New Roman" w:hAnsi="Times New Roman"/>
          <w:lang w:val="en-US"/>
        </w:rPr>
        <w:t xml:space="preserve"> </w:t>
      </w:r>
      <w:proofErr w:type="spellStart"/>
      <w:r w:rsidRPr="00057778">
        <w:rPr>
          <w:rFonts w:ascii="Times New Roman" w:hAnsi="Times New Roman"/>
          <w:lang w:val="en-US"/>
        </w:rPr>
        <w:t>të</w:t>
      </w:r>
      <w:proofErr w:type="spellEnd"/>
      <w:r w:rsidRPr="00057778">
        <w:rPr>
          <w:rFonts w:ascii="Times New Roman" w:hAnsi="Times New Roman"/>
          <w:lang w:val="en-US"/>
        </w:rPr>
        <w:t xml:space="preserve"> </w:t>
      </w:r>
      <w:proofErr w:type="spellStart"/>
      <w:r w:rsidRPr="00057778">
        <w:rPr>
          <w:rFonts w:ascii="Times New Roman" w:hAnsi="Times New Roman"/>
          <w:lang w:val="en-US"/>
        </w:rPr>
        <w:t>ponderuar</w:t>
      </w:r>
      <w:proofErr w:type="spellEnd"/>
      <w:r w:rsidRPr="00057778">
        <w:rPr>
          <w:rFonts w:ascii="Times New Roman" w:hAnsi="Times New Roman"/>
          <w:lang w:val="en-US"/>
        </w:rPr>
        <w:t xml:space="preserve"> </w:t>
      </w:r>
      <w:proofErr w:type="spellStart"/>
      <w:r w:rsidRPr="00057778">
        <w:rPr>
          <w:rFonts w:ascii="Times New Roman" w:hAnsi="Times New Roman"/>
          <w:lang w:val="en-US"/>
        </w:rPr>
        <w:t>të</w:t>
      </w:r>
      <w:proofErr w:type="spellEnd"/>
      <w:r w:rsidRPr="00057778">
        <w:rPr>
          <w:rFonts w:ascii="Times New Roman" w:hAnsi="Times New Roman"/>
          <w:lang w:val="en-US"/>
        </w:rPr>
        <w:t xml:space="preserve"> </w:t>
      </w:r>
      <w:proofErr w:type="spellStart"/>
      <w:r w:rsidRPr="00057778">
        <w:rPr>
          <w:rFonts w:ascii="Times New Roman" w:hAnsi="Times New Roman"/>
          <w:lang w:val="en-US"/>
        </w:rPr>
        <w:t>titujve</w:t>
      </w:r>
      <w:proofErr w:type="spellEnd"/>
      <w:r w:rsidRPr="00057778">
        <w:rPr>
          <w:rFonts w:ascii="Times New Roman" w:hAnsi="Times New Roman"/>
          <w:lang w:val="en-US"/>
        </w:rPr>
        <w:t xml:space="preserve"> </w:t>
      </w:r>
      <w:proofErr w:type="spellStart"/>
      <w:r w:rsidRPr="00057778">
        <w:rPr>
          <w:rFonts w:ascii="Times New Roman" w:hAnsi="Times New Roman"/>
          <w:lang w:val="en-US"/>
        </w:rPr>
        <w:t>shtetërorë</w:t>
      </w:r>
      <w:proofErr w:type="spellEnd"/>
      <w:r w:rsidRPr="00057778">
        <w:rPr>
          <w:rFonts w:ascii="Times New Roman" w:hAnsi="Times New Roman"/>
          <w:lang w:val="en-US"/>
        </w:rPr>
        <w:t xml:space="preserve"> </w:t>
      </w:r>
      <w:proofErr w:type="spellStart"/>
      <w:r w:rsidRPr="00057778">
        <w:rPr>
          <w:rFonts w:ascii="Times New Roman" w:hAnsi="Times New Roman"/>
          <w:lang w:val="en-US"/>
        </w:rPr>
        <w:t>të</w:t>
      </w:r>
      <w:proofErr w:type="spellEnd"/>
      <w:r w:rsidRPr="00057778">
        <w:rPr>
          <w:rFonts w:ascii="Times New Roman" w:hAnsi="Times New Roman"/>
          <w:lang w:val="en-US"/>
        </w:rPr>
        <w:t xml:space="preserve"> </w:t>
      </w:r>
      <w:proofErr w:type="spellStart"/>
      <w:r w:rsidRPr="00057778">
        <w:rPr>
          <w:rFonts w:ascii="Times New Roman" w:hAnsi="Times New Roman"/>
          <w:lang w:val="en-US"/>
        </w:rPr>
        <w:t>emetuar</w:t>
      </w:r>
      <w:proofErr w:type="spellEnd"/>
      <w:r w:rsidRPr="00057778">
        <w:rPr>
          <w:rFonts w:ascii="Times New Roman" w:hAnsi="Times New Roman"/>
          <w:lang w:val="en-US"/>
        </w:rPr>
        <w:t xml:space="preserve"> </w:t>
      </w:r>
      <w:proofErr w:type="spellStart"/>
      <w:r>
        <w:rPr>
          <w:rFonts w:ascii="Times New Roman" w:hAnsi="Times New Roman"/>
          <w:lang w:val="en-US"/>
        </w:rPr>
        <w:t>vetëm</w:t>
      </w:r>
      <w:proofErr w:type="spellEnd"/>
      <w:r>
        <w:rPr>
          <w:rFonts w:ascii="Times New Roman" w:hAnsi="Times New Roman"/>
          <w:lang w:val="en-US"/>
        </w:rPr>
        <w:t xml:space="preserve"> </w:t>
      </w:r>
      <w:proofErr w:type="spellStart"/>
      <w:r w:rsidRPr="00057778">
        <w:rPr>
          <w:rFonts w:ascii="Times New Roman" w:hAnsi="Times New Roman"/>
          <w:lang w:val="en-US"/>
        </w:rPr>
        <w:t>në</w:t>
      </w:r>
      <w:proofErr w:type="spellEnd"/>
      <w:r w:rsidRPr="00057778">
        <w:rPr>
          <w:rFonts w:ascii="Times New Roman" w:hAnsi="Times New Roman"/>
          <w:lang w:val="en-US"/>
        </w:rPr>
        <w:t xml:space="preserve"> </w:t>
      </w:r>
      <w:proofErr w:type="spellStart"/>
      <w:r w:rsidRPr="00057778">
        <w:rPr>
          <w:rFonts w:ascii="Times New Roman" w:hAnsi="Times New Roman"/>
          <w:lang w:val="en-US"/>
        </w:rPr>
        <w:t>tregun</w:t>
      </w:r>
      <w:proofErr w:type="spellEnd"/>
      <w:r w:rsidRPr="00057778">
        <w:rPr>
          <w:rFonts w:ascii="Times New Roman" w:hAnsi="Times New Roman"/>
          <w:lang w:val="en-US"/>
        </w:rPr>
        <w:t xml:space="preserve"> </w:t>
      </w:r>
      <w:proofErr w:type="spellStart"/>
      <w:r w:rsidRPr="00057778">
        <w:rPr>
          <w:rFonts w:ascii="Times New Roman" w:hAnsi="Times New Roman"/>
          <w:lang w:val="en-US"/>
        </w:rPr>
        <w:t>primar</w:t>
      </w:r>
      <w:proofErr w:type="spellEnd"/>
      <w:r w:rsidRPr="00057778">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0B05C" w14:textId="77777777" w:rsidR="00F21A6D" w:rsidRDefault="00F21A6D">
    <w:pPr>
      <w:pStyle w:val="Header"/>
    </w:pPr>
  </w:p>
  <w:tbl>
    <w:tblPr>
      <w:tblW w:w="5022" w:type="pct"/>
      <w:jc w:val="center"/>
      <w:tblBorders>
        <w:bottom w:val="single" w:sz="12" w:space="0" w:color="A6A6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6956"/>
      <w:gridCol w:w="2264"/>
    </w:tblGrid>
    <w:tr w:rsidR="00F21A6D" w:rsidRPr="005B570E" w14:paraId="0EAC1B50" w14:textId="77777777" w:rsidTr="008F2F19">
      <w:trPr>
        <w:trHeight w:val="355"/>
        <w:jc w:val="center"/>
      </w:trPr>
      <w:tc>
        <w:tcPr>
          <w:tcW w:w="6839" w:type="dxa"/>
          <w:tcBorders>
            <w:right w:val="single" w:sz="12" w:space="0" w:color="A6A6A6"/>
          </w:tcBorders>
        </w:tcPr>
        <w:p w14:paraId="224A9A3B" w14:textId="77777777" w:rsidR="00F21A6D" w:rsidRPr="003C58AE" w:rsidRDefault="00F21A6D" w:rsidP="00A345B1">
          <w:pPr>
            <w:pStyle w:val="Header"/>
            <w:jc w:val="right"/>
            <w:rPr>
              <w:rFonts w:ascii="Cambria" w:eastAsia="Times New Roman" w:hAnsi="Cambria"/>
              <w:color w:val="A6A6A6" w:themeColor="background1" w:themeShade="A6"/>
              <w:sz w:val="20"/>
              <w:szCs w:val="20"/>
            </w:rPr>
          </w:pPr>
          <w:r>
            <w:rPr>
              <w:rFonts w:ascii="Cambria" w:eastAsia="Times New Roman" w:hAnsi="Cambria"/>
              <w:color w:val="A6A6A6" w:themeColor="background1" w:themeShade="A6"/>
              <w:sz w:val="20"/>
              <w:szCs w:val="20"/>
            </w:rPr>
            <w:t>ANALIZA E BORXHIT PUBLIK</w:t>
          </w:r>
        </w:p>
      </w:tc>
      <w:tc>
        <w:tcPr>
          <w:tcW w:w="2226" w:type="dxa"/>
          <w:tcBorders>
            <w:left w:val="single" w:sz="12" w:space="0" w:color="A6A6A6"/>
          </w:tcBorders>
        </w:tcPr>
        <w:p w14:paraId="230B96FD" w14:textId="719CE049" w:rsidR="00F21A6D" w:rsidRPr="003C58AE" w:rsidRDefault="00F21A6D" w:rsidP="00C91F6E">
          <w:pPr>
            <w:pStyle w:val="Header"/>
            <w:rPr>
              <w:rFonts w:ascii="Cambria" w:eastAsia="Times New Roman" w:hAnsi="Cambria"/>
              <w:bCs/>
              <w:color w:val="A6A6A6" w:themeColor="background1" w:themeShade="A6"/>
              <w:sz w:val="20"/>
              <w:szCs w:val="20"/>
            </w:rPr>
          </w:pPr>
          <w:r>
            <w:rPr>
              <w:rFonts w:ascii="Cambria" w:eastAsia="Times New Roman" w:hAnsi="Cambria"/>
              <w:bCs/>
              <w:color w:val="A6A6A6" w:themeColor="background1" w:themeShade="A6"/>
              <w:sz w:val="20"/>
              <w:szCs w:val="20"/>
            </w:rPr>
            <w:t>Viti  2022</w:t>
          </w:r>
        </w:p>
      </w:tc>
    </w:tr>
  </w:tbl>
  <w:p w14:paraId="7BA096C3" w14:textId="77777777" w:rsidR="00F21A6D" w:rsidRDefault="00F21A6D" w:rsidP="008F2F19">
    <w:pPr>
      <w:pStyle w:val="Header"/>
      <w:tabs>
        <w:tab w:val="clear" w:pos="4513"/>
        <w:tab w:val="clear" w:pos="9026"/>
        <w:tab w:val="left" w:pos="6263"/>
      </w:tabs>
    </w:pPr>
    <w:r>
      <w:tab/>
    </w:r>
  </w:p>
  <w:p w14:paraId="5AC4BAB6" w14:textId="77777777" w:rsidR="00F21A6D" w:rsidRDefault="00F21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1256F"/>
    <w:multiLevelType w:val="hybridMultilevel"/>
    <w:tmpl w:val="9C944E32"/>
    <w:lvl w:ilvl="0" w:tplc="FBA45AB6">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 w15:restartNumberingAfterBreak="0">
    <w:nsid w:val="0F94569F"/>
    <w:multiLevelType w:val="hybridMultilevel"/>
    <w:tmpl w:val="326E2F36"/>
    <w:lvl w:ilvl="0" w:tplc="354AE596">
      <w:start w:val="1"/>
      <w:numFmt w:val="decimal"/>
      <w:lvlText w:val="%1."/>
      <w:lvlJc w:val="left"/>
      <w:pPr>
        <w:ind w:left="1080" w:hanging="360"/>
      </w:pPr>
      <w:rPr>
        <w:rFonts w:eastAsia="Times New Roman"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5E7769"/>
    <w:multiLevelType w:val="hybridMultilevel"/>
    <w:tmpl w:val="4C0AABE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52B0FFA"/>
    <w:multiLevelType w:val="multilevel"/>
    <w:tmpl w:val="BDF27444"/>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ascii="Cambria" w:hAnsi="Cambria"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117745"/>
    <w:multiLevelType w:val="hybridMultilevel"/>
    <w:tmpl w:val="326E2F36"/>
    <w:lvl w:ilvl="0" w:tplc="354AE596">
      <w:start w:val="1"/>
      <w:numFmt w:val="decimal"/>
      <w:lvlText w:val="%1."/>
      <w:lvlJc w:val="left"/>
      <w:pPr>
        <w:ind w:left="1080" w:hanging="360"/>
      </w:pPr>
      <w:rPr>
        <w:rFonts w:eastAsia="Times New Roman"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B479A8"/>
    <w:multiLevelType w:val="hybridMultilevel"/>
    <w:tmpl w:val="C49A0112"/>
    <w:lvl w:ilvl="0" w:tplc="A33826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84719"/>
    <w:multiLevelType w:val="multilevel"/>
    <w:tmpl w:val="636C9A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3E175E1"/>
    <w:multiLevelType w:val="hybridMultilevel"/>
    <w:tmpl w:val="326E2F36"/>
    <w:lvl w:ilvl="0" w:tplc="354AE596">
      <w:start w:val="1"/>
      <w:numFmt w:val="decimal"/>
      <w:lvlText w:val="%1."/>
      <w:lvlJc w:val="left"/>
      <w:pPr>
        <w:ind w:left="1080" w:hanging="360"/>
      </w:pPr>
      <w:rPr>
        <w:rFonts w:eastAsia="Times New Roman"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310E25"/>
    <w:multiLevelType w:val="hybridMultilevel"/>
    <w:tmpl w:val="885A67CC"/>
    <w:lvl w:ilvl="0" w:tplc="44CCA092">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7F2563"/>
    <w:multiLevelType w:val="hybridMultilevel"/>
    <w:tmpl w:val="79E85092"/>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F17119"/>
    <w:multiLevelType w:val="hybridMultilevel"/>
    <w:tmpl w:val="326E2F36"/>
    <w:lvl w:ilvl="0" w:tplc="354AE596">
      <w:start w:val="1"/>
      <w:numFmt w:val="decimal"/>
      <w:lvlText w:val="%1."/>
      <w:lvlJc w:val="left"/>
      <w:pPr>
        <w:ind w:left="1080" w:hanging="360"/>
      </w:pPr>
      <w:rPr>
        <w:rFonts w:eastAsia="Times New Roman"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BE7C4D"/>
    <w:multiLevelType w:val="hybridMultilevel"/>
    <w:tmpl w:val="EBE2C232"/>
    <w:lvl w:ilvl="0" w:tplc="71F4379C">
      <w:start w:val="5"/>
      <w:numFmt w:val="bullet"/>
      <w:lvlText w:val="-"/>
      <w:lvlJc w:val="left"/>
      <w:pPr>
        <w:ind w:left="720" w:hanging="360"/>
      </w:pPr>
      <w:rPr>
        <w:rFonts w:ascii="Times New Roman" w:eastAsia="Batang" w:hAnsi="Times New Roman" w:cs="Times New Roman" w:hint="default"/>
        <w:b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2E66811"/>
    <w:multiLevelType w:val="hybridMultilevel"/>
    <w:tmpl w:val="F87C40E4"/>
    <w:lvl w:ilvl="0" w:tplc="B686DE84">
      <w:start w:val="1"/>
      <w:numFmt w:val="lowerRoman"/>
      <w:lvlText w:val="%1)"/>
      <w:lvlJc w:val="left"/>
      <w:pPr>
        <w:ind w:left="1080" w:hanging="72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0BF9"/>
    <w:multiLevelType w:val="hybridMultilevel"/>
    <w:tmpl w:val="326E2F36"/>
    <w:lvl w:ilvl="0" w:tplc="354AE596">
      <w:start w:val="1"/>
      <w:numFmt w:val="decimal"/>
      <w:lvlText w:val="%1."/>
      <w:lvlJc w:val="left"/>
      <w:pPr>
        <w:ind w:left="1080" w:hanging="360"/>
      </w:pPr>
      <w:rPr>
        <w:rFonts w:eastAsia="Times New Roman"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B47273"/>
    <w:multiLevelType w:val="multilevel"/>
    <w:tmpl w:val="90B0425E"/>
    <w:lvl w:ilvl="0">
      <w:start w:val="1"/>
      <w:numFmt w:val="decimal"/>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360"/>
      </w:pPr>
      <w:rPr>
        <w:rFonts w:hint="default"/>
      </w:rPr>
    </w:lvl>
    <w:lvl w:ilvl="2">
      <w:start w:val="1"/>
      <w:numFmt w:val="decimal"/>
      <w:isLgl/>
      <w:lvlText w:val="%1.1.%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0"/>
  </w:num>
  <w:num w:numId="3">
    <w:abstractNumId w:val="9"/>
  </w:num>
  <w:num w:numId="4">
    <w:abstractNumId w:val="2"/>
  </w:num>
  <w:num w:numId="5">
    <w:abstractNumId w:val="3"/>
  </w:num>
  <w:num w:numId="6">
    <w:abstractNumId w:val="7"/>
  </w:num>
  <w:num w:numId="7">
    <w:abstractNumId w:val="1"/>
  </w:num>
  <w:num w:numId="8">
    <w:abstractNumId w:val="13"/>
  </w:num>
  <w:num w:numId="9">
    <w:abstractNumId w:val="10"/>
  </w:num>
  <w:num w:numId="10">
    <w:abstractNumId w:val="4"/>
  </w:num>
  <w:num w:numId="11">
    <w:abstractNumId w:val="8"/>
  </w:num>
  <w:num w:numId="12">
    <w:abstractNumId w:val="14"/>
  </w:num>
  <w:num w:numId="13">
    <w:abstractNumId w:val="14"/>
    <w:lvlOverride w:ilvl="0">
      <w:startOverride w:val="5"/>
    </w:lvlOverride>
    <w:lvlOverride w:ilvl="1">
      <w:startOverride w:val="2"/>
    </w:lvlOverride>
  </w:num>
  <w:num w:numId="14">
    <w:abstractNumId w:val="11"/>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Q2szCzMDI2NTE0tjBU0lEKTi0uzszPAykwrAUAuWsAxywAAAA="/>
  </w:docVars>
  <w:rsids>
    <w:rsidRoot w:val="00BD4441"/>
    <w:rsid w:val="000010AA"/>
    <w:rsid w:val="000012B6"/>
    <w:rsid w:val="000035DC"/>
    <w:rsid w:val="000038B0"/>
    <w:rsid w:val="00003C4C"/>
    <w:rsid w:val="00005C16"/>
    <w:rsid w:val="000078A5"/>
    <w:rsid w:val="00007B03"/>
    <w:rsid w:val="000119D5"/>
    <w:rsid w:val="00012AF7"/>
    <w:rsid w:val="0001336A"/>
    <w:rsid w:val="000135D8"/>
    <w:rsid w:val="0001373B"/>
    <w:rsid w:val="00014398"/>
    <w:rsid w:val="00014AC1"/>
    <w:rsid w:val="000158E7"/>
    <w:rsid w:val="00016001"/>
    <w:rsid w:val="00020054"/>
    <w:rsid w:val="00020B98"/>
    <w:rsid w:val="00021354"/>
    <w:rsid w:val="000216E3"/>
    <w:rsid w:val="00021B12"/>
    <w:rsid w:val="00022758"/>
    <w:rsid w:val="000235C7"/>
    <w:rsid w:val="00024E11"/>
    <w:rsid w:val="000260A0"/>
    <w:rsid w:val="00026334"/>
    <w:rsid w:val="00026982"/>
    <w:rsid w:val="00030A5F"/>
    <w:rsid w:val="0003109A"/>
    <w:rsid w:val="00031A31"/>
    <w:rsid w:val="00031F32"/>
    <w:rsid w:val="0003201C"/>
    <w:rsid w:val="0003348F"/>
    <w:rsid w:val="0003425E"/>
    <w:rsid w:val="00034A65"/>
    <w:rsid w:val="00035E41"/>
    <w:rsid w:val="00036EE2"/>
    <w:rsid w:val="0004090F"/>
    <w:rsid w:val="00040D9E"/>
    <w:rsid w:val="00041FEC"/>
    <w:rsid w:val="0004201D"/>
    <w:rsid w:val="0004299A"/>
    <w:rsid w:val="00042D05"/>
    <w:rsid w:val="00042F7B"/>
    <w:rsid w:val="0004346D"/>
    <w:rsid w:val="00043484"/>
    <w:rsid w:val="00043775"/>
    <w:rsid w:val="000441D4"/>
    <w:rsid w:val="000443B5"/>
    <w:rsid w:val="00044A37"/>
    <w:rsid w:val="000451D7"/>
    <w:rsid w:val="000451FF"/>
    <w:rsid w:val="00045AB4"/>
    <w:rsid w:val="00046697"/>
    <w:rsid w:val="000479CC"/>
    <w:rsid w:val="00047B4C"/>
    <w:rsid w:val="00050097"/>
    <w:rsid w:val="00050209"/>
    <w:rsid w:val="00050D7D"/>
    <w:rsid w:val="00050E07"/>
    <w:rsid w:val="00052620"/>
    <w:rsid w:val="00053491"/>
    <w:rsid w:val="000535E2"/>
    <w:rsid w:val="0005379B"/>
    <w:rsid w:val="00055B0F"/>
    <w:rsid w:val="00055C97"/>
    <w:rsid w:val="00057033"/>
    <w:rsid w:val="00057778"/>
    <w:rsid w:val="000605C7"/>
    <w:rsid w:val="00061FDC"/>
    <w:rsid w:val="0006390C"/>
    <w:rsid w:val="000643FA"/>
    <w:rsid w:val="00065F44"/>
    <w:rsid w:val="0006665B"/>
    <w:rsid w:val="000674A7"/>
    <w:rsid w:val="000678A6"/>
    <w:rsid w:val="00067AD8"/>
    <w:rsid w:val="0007107A"/>
    <w:rsid w:val="0007109A"/>
    <w:rsid w:val="00072177"/>
    <w:rsid w:val="00072314"/>
    <w:rsid w:val="00073659"/>
    <w:rsid w:val="00073A4E"/>
    <w:rsid w:val="000746D8"/>
    <w:rsid w:val="00075634"/>
    <w:rsid w:val="00075FBF"/>
    <w:rsid w:val="00080857"/>
    <w:rsid w:val="00080E91"/>
    <w:rsid w:val="000823AF"/>
    <w:rsid w:val="0008273D"/>
    <w:rsid w:val="00082D2F"/>
    <w:rsid w:val="0008327D"/>
    <w:rsid w:val="00084A95"/>
    <w:rsid w:val="00086090"/>
    <w:rsid w:val="0008639D"/>
    <w:rsid w:val="00086FEE"/>
    <w:rsid w:val="00087610"/>
    <w:rsid w:val="00087899"/>
    <w:rsid w:val="000900E7"/>
    <w:rsid w:val="000903DF"/>
    <w:rsid w:val="0009072D"/>
    <w:rsid w:val="000908B1"/>
    <w:rsid w:val="00092AE3"/>
    <w:rsid w:val="00095921"/>
    <w:rsid w:val="0009624A"/>
    <w:rsid w:val="000A0033"/>
    <w:rsid w:val="000A016F"/>
    <w:rsid w:val="000A0B97"/>
    <w:rsid w:val="000A2857"/>
    <w:rsid w:val="000A2AE4"/>
    <w:rsid w:val="000A3A4E"/>
    <w:rsid w:val="000A3FAD"/>
    <w:rsid w:val="000A4072"/>
    <w:rsid w:val="000A4305"/>
    <w:rsid w:val="000A45D5"/>
    <w:rsid w:val="000A5513"/>
    <w:rsid w:val="000A685E"/>
    <w:rsid w:val="000A7636"/>
    <w:rsid w:val="000A7E21"/>
    <w:rsid w:val="000B0740"/>
    <w:rsid w:val="000B164A"/>
    <w:rsid w:val="000B16C6"/>
    <w:rsid w:val="000B2835"/>
    <w:rsid w:val="000B40FC"/>
    <w:rsid w:val="000B5276"/>
    <w:rsid w:val="000B7816"/>
    <w:rsid w:val="000B7F2C"/>
    <w:rsid w:val="000C0DE8"/>
    <w:rsid w:val="000C144E"/>
    <w:rsid w:val="000C1953"/>
    <w:rsid w:val="000C1B11"/>
    <w:rsid w:val="000C1CDE"/>
    <w:rsid w:val="000C22A8"/>
    <w:rsid w:val="000C4680"/>
    <w:rsid w:val="000C5549"/>
    <w:rsid w:val="000C5694"/>
    <w:rsid w:val="000C6788"/>
    <w:rsid w:val="000C68B8"/>
    <w:rsid w:val="000C779C"/>
    <w:rsid w:val="000D1493"/>
    <w:rsid w:val="000D1771"/>
    <w:rsid w:val="000D367F"/>
    <w:rsid w:val="000D43F1"/>
    <w:rsid w:val="000D4760"/>
    <w:rsid w:val="000D56DF"/>
    <w:rsid w:val="000D7F11"/>
    <w:rsid w:val="000E3DD0"/>
    <w:rsid w:val="000E451C"/>
    <w:rsid w:val="000E502C"/>
    <w:rsid w:val="000E53F2"/>
    <w:rsid w:val="000E5ED4"/>
    <w:rsid w:val="000E632B"/>
    <w:rsid w:val="000E7172"/>
    <w:rsid w:val="000E720A"/>
    <w:rsid w:val="000F00C1"/>
    <w:rsid w:val="000F0903"/>
    <w:rsid w:val="000F0AF2"/>
    <w:rsid w:val="000F126F"/>
    <w:rsid w:val="000F1E03"/>
    <w:rsid w:val="000F2998"/>
    <w:rsid w:val="000F3D66"/>
    <w:rsid w:val="000F572D"/>
    <w:rsid w:val="000F59B0"/>
    <w:rsid w:val="000F5DA0"/>
    <w:rsid w:val="000F60B2"/>
    <w:rsid w:val="000F63F8"/>
    <w:rsid w:val="000F7370"/>
    <w:rsid w:val="000F7529"/>
    <w:rsid w:val="000F7576"/>
    <w:rsid w:val="000F7F13"/>
    <w:rsid w:val="001018E7"/>
    <w:rsid w:val="00101B44"/>
    <w:rsid w:val="00101CF9"/>
    <w:rsid w:val="001023C0"/>
    <w:rsid w:val="00102DA8"/>
    <w:rsid w:val="001031C1"/>
    <w:rsid w:val="00104A37"/>
    <w:rsid w:val="0010660A"/>
    <w:rsid w:val="00106831"/>
    <w:rsid w:val="001071CE"/>
    <w:rsid w:val="0010736D"/>
    <w:rsid w:val="00110F6E"/>
    <w:rsid w:val="00111296"/>
    <w:rsid w:val="001118C6"/>
    <w:rsid w:val="00111A5D"/>
    <w:rsid w:val="00113008"/>
    <w:rsid w:val="001131C6"/>
    <w:rsid w:val="00113426"/>
    <w:rsid w:val="00113757"/>
    <w:rsid w:val="0011384F"/>
    <w:rsid w:val="00113EA3"/>
    <w:rsid w:val="0011423E"/>
    <w:rsid w:val="001146B6"/>
    <w:rsid w:val="00114D25"/>
    <w:rsid w:val="00114E45"/>
    <w:rsid w:val="0011574A"/>
    <w:rsid w:val="00116640"/>
    <w:rsid w:val="0012045F"/>
    <w:rsid w:val="00122850"/>
    <w:rsid w:val="00122A78"/>
    <w:rsid w:val="0012303A"/>
    <w:rsid w:val="001231C5"/>
    <w:rsid w:val="0012383A"/>
    <w:rsid w:val="001241C2"/>
    <w:rsid w:val="001245C1"/>
    <w:rsid w:val="001259BD"/>
    <w:rsid w:val="00125F9F"/>
    <w:rsid w:val="00126DF8"/>
    <w:rsid w:val="00127E5D"/>
    <w:rsid w:val="00131F79"/>
    <w:rsid w:val="00132058"/>
    <w:rsid w:val="00133159"/>
    <w:rsid w:val="001331CF"/>
    <w:rsid w:val="001339EC"/>
    <w:rsid w:val="00133ADD"/>
    <w:rsid w:val="00134D37"/>
    <w:rsid w:val="00136E72"/>
    <w:rsid w:val="0013747E"/>
    <w:rsid w:val="00137933"/>
    <w:rsid w:val="00140B37"/>
    <w:rsid w:val="00142176"/>
    <w:rsid w:val="00142285"/>
    <w:rsid w:val="001425C2"/>
    <w:rsid w:val="001436AF"/>
    <w:rsid w:val="00143AD5"/>
    <w:rsid w:val="00144195"/>
    <w:rsid w:val="001443A6"/>
    <w:rsid w:val="00145289"/>
    <w:rsid w:val="00145865"/>
    <w:rsid w:val="00145981"/>
    <w:rsid w:val="00145C09"/>
    <w:rsid w:val="0014708A"/>
    <w:rsid w:val="001478D0"/>
    <w:rsid w:val="00150D13"/>
    <w:rsid w:val="001517D3"/>
    <w:rsid w:val="0015193E"/>
    <w:rsid w:val="00151A21"/>
    <w:rsid w:val="00151F4A"/>
    <w:rsid w:val="0015221B"/>
    <w:rsid w:val="00152BBE"/>
    <w:rsid w:val="0015378C"/>
    <w:rsid w:val="0015490E"/>
    <w:rsid w:val="00154E13"/>
    <w:rsid w:val="00154F62"/>
    <w:rsid w:val="001579F8"/>
    <w:rsid w:val="00160856"/>
    <w:rsid w:val="00163842"/>
    <w:rsid w:val="00163AD1"/>
    <w:rsid w:val="00163EA8"/>
    <w:rsid w:val="00163F98"/>
    <w:rsid w:val="001647B0"/>
    <w:rsid w:val="00164AAA"/>
    <w:rsid w:val="00165416"/>
    <w:rsid w:val="0016587F"/>
    <w:rsid w:val="00165ED2"/>
    <w:rsid w:val="001661A7"/>
    <w:rsid w:val="00166B85"/>
    <w:rsid w:val="00167088"/>
    <w:rsid w:val="001712B2"/>
    <w:rsid w:val="0017159C"/>
    <w:rsid w:val="00171757"/>
    <w:rsid w:val="00171DF3"/>
    <w:rsid w:val="001729BC"/>
    <w:rsid w:val="00172C2C"/>
    <w:rsid w:val="00173283"/>
    <w:rsid w:val="001735F1"/>
    <w:rsid w:val="00173E74"/>
    <w:rsid w:val="001744AF"/>
    <w:rsid w:val="00174846"/>
    <w:rsid w:val="001748B8"/>
    <w:rsid w:val="0017548A"/>
    <w:rsid w:val="001756D9"/>
    <w:rsid w:val="00175847"/>
    <w:rsid w:val="001760B9"/>
    <w:rsid w:val="001761BD"/>
    <w:rsid w:val="0017729B"/>
    <w:rsid w:val="00177F5D"/>
    <w:rsid w:val="00180950"/>
    <w:rsid w:val="001813A1"/>
    <w:rsid w:val="001833CC"/>
    <w:rsid w:val="001834E5"/>
    <w:rsid w:val="0018395D"/>
    <w:rsid w:val="0018411C"/>
    <w:rsid w:val="00186140"/>
    <w:rsid w:val="00187A17"/>
    <w:rsid w:val="0019083A"/>
    <w:rsid w:val="00190E39"/>
    <w:rsid w:val="001916B7"/>
    <w:rsid w:val="00191C67"/>
    <w:rsid w:val="00191EA6"/>
    <w:rsid w:val="00192E23"/>
    <w:rsid w:val="001936AA"/>
    <w:rsid w:val="00193E03"/>
    <w:rsid w:val="00194EBD"/>
    <w:rsid w:val="00195A23"/>
    <w:rsid w:val="001962D3"/>
    <w:rsid w:val="0019673A"/>
    <w:rsid w:val="001967F2"/>
    <w:rsid w:val="00197C26"/>
    <w:rsid w:val="00197E59"/>
    <w:rsid w:val="001A061C"/>
    <w:rsid w:val="001A078E"/>
    <w:rsid w:val="001A1BA2"/>
    <w:rsid w:val="001A209B"/>
    <w:rsid w:val="001A2746"/>
    <w:rsid w:val="001A276F"/>
    <w:rsid w:val="001A5079"/>
    <w:rsid w:val="001A509C"/>
    <w:rsid w:val="001A58B7"/>
    <w:rsid w:val="001A6029"/>
    <w:rsid w:val="001A64DB"/>
    <w:rsid w:val="001A6CC1"/>
    <w:rsid w:val="001A6F39"/>
    <w:rsid w:val="001A71AB"/>
    <w:rsid w:val="001A79D7"/>
    <w:rsid w:val="001B07AF"/>
    <w:rsid w:val="001B0EEC"/>
    <w:rsid w:val="001B17D9"/>
    <w:rsid w:val="001B18F3"/>
    <w:rsid w:val="001B1BC5"/>
    <w:rsid w:val="001B21F0"/>
    <w:rsid w:val="001B2539"/>
    <w:rsid w:val="001B2739"/>
    <w:rsid w:val="001B37A5"/>
    <w:rsid w:val="001B382B"/>
    <w:rsid w:val="001B3CF2"/>
    <w:rsid w:val="001B3D8C"/>
    <w:rsid w:val="001B3EE5"/>
    <w:rsid w:val="001B48C0"/>
    <w:rsid w:val="001B4E49"/>
    <w:rsid w:val="001B53E9"/>
    <w:rsid w:val="001B63D3"/>
    <w:rsid w:val="001B6AA6"/>
    <w:rsid w:val="001B760D"/>
    <w:rsid w:val="001C03D4"/>
    <w:rsid w:val="001C085C"/>
    <w:rsid w:val="001C0CA5"/>
    <w:rsid w:val="001C18C1"/>
    <w:rsid w:val="001C2A48"/>
    <w:rsid w:val="001C2E0F"/>
    <w:rsid w:val="001C3A24"/>
    <w:rsid w:val="001C4917"/>
    <w:rsid w:val="001C533C"/>
    <w:rsid w:val="001C5519"/>
    <w:rsid w:val="001C5BC6"/>
    <w:rsid w:val="001C5CB3"/>
    <w:rsid w:val="001C5D27"/>
    <w:rsid w:val="001C6DFC"/>
    <w:rsid w:val="001C7940"/>
    <w:rsid w:val="001D0504"/>
    <w:rsid w:val="001D1A83"/>
    <w:rsid w:val="001D1D00"/>
    <w:rsid w:val="001D25E7"/>
    <w:rsid w:val="001D2DDD"/>
    <w:rsid w:val="001D415C"/>
    <w:rsid w:val="001D41B8"/>
    <w:rsid w:val="001D47B4"/>
    <w:rsid w:val="001D50FA"/>
    <w:rsid w:val="001D53A9"/>
    <w:rsid w:val="001D5685"/>
    <w:rsid w:val="001D572D"/>
    <w:rsid w:val="001D622A"/>
    <w:rsid w:val="001D70D4"/>
    <w:rsid w:val="001D74F4"/>
    <w:rsid w:val="001E0E20"/>
    <w:rsid w:val="001E12F5"/>
    <w:rsid w:val="001E1BEC"/>
    <w:rsid w:val="001E3D18"/>
    <w:rsid w:val="001E46A9"/>
    <w:rsid w:val="001E50CB"/>
    <w:rsid w:val="001E54FA"/>
    <w:rsid w:val="001E6140"/>
    <w:rsid w:val="001E6298"/>
    <w:rsid w:val="001E7929"/>
    <w:rsid w:val="001F0446"/>
    <w:rsid w:val="001F15D1"/>
    <w:rsid w:val="001F1AFC"/>
    <w:rsid w:val="001F212C"/>
    <w:rsid w:val="001F2C78"/>
    <w:rsid w:val="001F3412"/>
    <w:rsid w:val="001F361F"/>
    <w:rsid w:val="001F4E30"/>
    <w:rsid w:val="001F5361"/>
    <w:rsid w:val="001F5665"/>
    <w:rsid w:val="001F5D7A"/>
    <w:rsid w:val="001F64B4"/>
    <w:rsid w:val="001F77E9"/>
    <w:rsid w:val="00200637"/>
    <w:rsid w:val="00200D11"/>
    <w:rsid w:val="00201489"/>
    <w:rsid w:val="0020161E"/>
    <w:rsid w:val="00202232"/>
    <w:rsid w:val="00203A87"/>
    <w:rsid w:val="0020433D"/>
    <w:rsid w:val="00205F7D"/>
    <w:rsid w:val="00206432"/>
    <w:rsid w:val="00206881"/>
    <w:rsid w:val="00206B62"/>
    <w:rsid w:val="0021160B"/>
    <w:rsid w:val="00211918"/>
    <w:rsid w:val="00211EA0"/>
    <w:rsid w:val="00212997"/>
    <w:rsid w:val="00212A5C"/>
    <w:rsid w:val="00212CF5"/>
    <w:rsid w:val="00214A57"/>
    <w:rsid w:val="00214E5A"/>
    <w:rsid w:val="00215602"/>
    <w:rsid w:val="002173B7"/>
    <w:rsid w:val="00217506"/>
    <w:rsid w:val="00220331"/>
    <w:rsid w:val="00220DDA"/>
    <w:rsid w:val="002211C9"/>
    <w:rsid w:val="00222336"/>
    <w:rsid w:val="0022392E"/>
    <w:rsid w:val="00223B39"/>
    <w:rsid w:val="00224715"/>
    <w:rsid w:val="00224878"/>
    <w:rsid w:val="00224CF2"/>
    <w:rsid w:val="002262C5"/>
    <w:rsid w:val="002307A3"/>
    <w:rsid w:val="00230C66"/>
    <w:rsid w:val="002320D4"/>
    <w:rsid w:val="0023294D"/>
    <w:rsid w:val="00233E8E"/>
    <w:rsid w:val="00233EA7"/>
    <w:rsid w:val="00236805"/>
    <w:rsid w:val="00236FFC"/>
    <w:rsid w:val="00237303"/>
    <w:rsid w:val="00237F90"/>
    <w:rsid w:val="002401F3"/>
    <w:rsid w:val="00240FDF"/>
    <w:rsid w:val="00241702"/>
    <w:rsid w:val="00241968"/>
    <w:rsid w:val="00241A28"/>
    <w:rsid w:val="00242066"/>
    <w:rsid w:val="00243533"/>
    <w:rsid w:val="00243837"/>
    <w:rsid w:val="00243B50"/>
    <w:rsid w:val="00243C2E"/>
    <w:rsid w:val="002448EC"/>
    <w:rsid w:val="00244928"/>
    <w:rsid w:val="00244B84"/>
    <w:rsid w:val="00244D6F"/>
    <w:rsid w:val="00245713"/>
    <w:rsid w:val="00245EE4"/>
    <w:rsid w:val="00250DD4"/>
    <w:rsid w:val="00251715"/>
    <w:rsid w:val="00253184"/>
    <w:rsid w:val="0025375B"/>
    <w:rsid w:val="00253AE0"/>
    <w:rsid w:val="00253F18"/>
    <w:rsid w:val="00253F5D"/>
    <w:rsid w:val="0025468A"/>
    <w:rsid w:val="0025506B"/>
    <w:rsid w:val="002550C3"/>
    <w:rsid w:val="0025559D"/>
    <w:rsid w:val="002564AB"/>
    <w:rsid w:val="002569C4"/>
    <w:rsid w:val="0025745D"/>
    <w:rsid w:val="00260B95"/>
    <w:rsid w:val="00262175"/>
    <w:rsid w:val="002630D0"/>
    <w:rsid w:val="00263448"/>
    <w:rsid w:val="00263BB7"/>
    <w:rsid w:val="00263F17"/>
    <w:rsid w:val="00264316"/>
    <w:rsid w:val="00265124"/>
    <w:rsid w:val="0026542D"/>
    <w:rsid w:val="00265DA2"/>
    <w:rsid w:val="00266321"/>
    <w:rsid w:val="002666D8"/>
    <w:rsid w:val="00267758"/>
    <w:rsid w:val="00267DAE"/>
    <w:rsid w:val="002703F5"/>
    <w:rsid w:val="002705D4"/>
    <w:rsid w:val="0027136E"/>
    <w:rsid w:val="00272DB5"/>
    <w:rsid w:val="00273B2F"/>
    <w:rsid w:val="00273B41"/>
    <w:rsid w:val="00273E46"/>
    <w:rsid w:val="00274C5B"/>
    <w:rsid w:val="002754B5"/>
    <w:rsid w:val="0027678A"/>
    <w:rsid w:val="00276B74"/>
    <w:rsid w:val="0027751E"/>
    <w:rsid w:val="0027780A"/>
    <w:rsid w:val="002801CA"/>
    <w:rsid w:val="002810F5"/>
    <w:rsid w:val="002819A7"/>
    <w:rsid w:val="00281EB0"/>
    <w:rsid w:val="00284A78"/>
    <w:rsid w:val="00285652"/>
    <w:rsid w:val="00285871"/>
    <w:rsid w:val="00285DCA"/>
    <w:rsid w:val="002860AC"/>
    <w:rsid w:val="00286720"/>
    <w:rsid w:val="00286C35"/>
    <w:rsid w:val="002872E9"/>
    <w:rsid w:val="0029049A"/>
    <w:rsid w:val="00291A56"/>
    <w:rsid w:val="002924BF"/>
    <w:rsid w:val="002934E6"/>
    <w:rsid w:val="00293B87"/>
    <w:rsid w:val="0029453B"/>
    <w:rsid w:val="002949AA"/>
    <w:rsid w:val="0029516E"/>
    <w:rsid w:val="00297344"/>
    <w:rsid w:val="002973EC"/>
    <w:rsid w:val="002977DD"/>
    <w:rsid w:val="002A0A89"/>
    <w:rsid w:val="002A0B66"/>
    <w:rsid w:val="002A143A"/>
    <w:rsid w:val="002A14B4"/>
    <w:rsid w:val="002A1EF2"/>
    <w:rsid w:val="002A210F"/>
    <w:rsid w:val="002A363D"/>
    <w:rsid w:val="002A4301"/>
    <w:rsid w:val="002A54D0"/>
    <w:rsid w:val="002A55BD"/>
    <w:rsid w:val="002A5EBD"/>
    <w:rsid w:val="002A6E2C"/>
    <w:rsid w:val="002A7724"/>
    <w:rsid w:val="002A7F25"/>
    <w:rsid w:val="002B027C"/>
    <w:rsid w:val="002B02D9"/>
    <w:rsid w:val="002B064D"/>
    <w:rsid w:val="002B0658"/>
    <w:rsid w:val="002B128A"/>
    <w:rsid w:val="002B24A5"/>
    <w:rsid w:val="002B2A0F"/>
    <w:rsid w:val="002B465C"/>
    <w:rsid w:val="002B56DA"/>
    <w:rsid w:val="002B650D"/>
    <w:rsid w:val="002B66AC"/>
    <w:rsid w:val="002B6AF6"/>
    <w:rsid w:val="002B6B1C"/>
    <w:rsid w:val="002B6E8F"/>
    <w:rsid w:val="002B768F"/>
    <w:rsid w:val="002B7772"/>
    <w:rsid w:val="002C02F4"/>
    <w:rsid w:val="002C1666"/>
    <w:rsid w:val="002C4052"/>
    <w:rsid w:val="002C46DE"/>
    <w:rsid w:val="002C4F39"/>
    <w:rsid w:val="002C5815"/>
    <w:rsid w:val="002C583E"/>
    <w:rsid w:val="002C6E09"/>
    <w:rsid w:val="002C7BFE"/>
    <w:rsid w:val="002C7F0D"/>
    <w:rsid w:val="002C7FDF"/>
    <w:rsid w:val="002D1247"/>
    <w:rsid w:val="002D1744"/>
    <w:rsid w:val="002D188E"/>
    <w:rsid w:val="002D1FF6"/>
    <w:rsid w:val="002D32AC"/>
    <w:rsid w:val="002D35F7"/>
    <w:rsid w:val="002D382F"/>
    <w:rsid w:val="002D3BFB"/>
    <w:rsid w:val="002D48EA"/>
    <w:rsid w:val="002D50F1"/>
    <w:rsid w:val="002D5662"/>
    <w:rsid w:val="002D56A2"/>
    <w:rsid w:val="002D56AC"/>
    <w:rsid w:val="002D58F2"/>
    <w:rsid w:val="002D608B"/>
    <w:rsid w:val="002D6562"/>
    <w:rsid w:val="002D68DF"/>
    <w:rsid w:val="002D7750"/>
    <w:rsid w:val="002D7856"/>
    <w:rsid w:val="002D7AEB"/>
    <w:rsid w:val="002E074E"/>
    <w:rsid w:val="002E0F5E"/>
    <w:rsid w:val="002E17F4"/>
    <w:rsid w:val="002E180C"/>
    <w:rsid w:val="002E191E"/>
    <w:rsid w:val="002E1C4C"/>
    <w:rsid w:val="002E2B51"/>
    <w:rsid w:val="002E3221"/>
    <w:rsid w:val="002E361E"/>
    <w:rsid w:val="002E37B5"/>
    <w:rsid w:val="002E52C2"/>
    <w:rsid w:val="002E5958"/>
    <w:rsid w:val="002E5BC5"/>
    <w:rsid w:val="002E5F1D"/>
    <w:rsid w:val="002E5FCF"/>
    <w:rsid w:val="002E67F6"/>
    <w:rsid w:val="002E7134"/>
    <w:rsid w:val="002F016E"/>
    <w:rsid w:val="002F06AE"/>
    <w:rsid w:val="002F0822"/>
    <w:rsid w:val="002F0B6F"/>
    <w:rsid w:val="002F1F3E"/>
    <w:rsid w:val="002F3909"/>
    <w:rsid w:val="002F40DB"/>
    <w:rsid w:val="002F5E00"/>
    <w:rsid w:val="002F6229"/>
    <w:rsid w:val="002F6673"/>
    <w:rsid w:val="002F7DA6"/>
    <w:rsid w:val="00300DBE"/>
    <w:rsid w:val="00301B20"/>
    <w:rsid w:val="00302BE6"/>
    <w:rsid w:val="00303C29"/>
    <w:rsid w:val="00304D20"/>
    <w:rsid w:val="00304EA7"/>
    <w:rsid w:val="00305862"/>
    <w:rsid w:val="00306863"/>
    <w:rsid w:val="003073C1"/>
    <w:rsid w:val="003079D8"/>
    <w:rsid w:val="00310CD6"/>
    <w:rsid w:val="00311439"/>
    <w:rsid w:val="003116E9"/>
    <w:rsid w:val="00311ACF"/>
    <w:rsid w:val="003120F4"/>
    <w:rsid w:val="003127BA"/>
    <w:rsid w:val="00313151"/>
    <w:rsid w:val="003137DF"/>
    <w:rsid w:val="00313C36"/>
    <w:rsid w:val="0031409D"/>
    <w:rsid w:val="003143DF"/>
    <w:rsid w:val="00314E23"/>
    <w:rsid w:val="00314EB0"/>
    <w:rsid w:val="00315064"/>
    <w:rsid w:val="00316548"/>
    <w:rsid w:val="00316979"/>
    <w:rsid w:val="0031714E"/>
    <w:rsid w:val="00317F0C"/>
    <w:rsid w:val="003204C2"/>
    <w:rsid w:val="00320CB8"/>
    <w:rsid w:val="0032106D"/>
    <w:rsid w:val="00321124"/>
    <w:rsid w:val="003214E3"/>
    <w:rsid w:val="00321EF1"/>
    <w:rsid w:val="003224B9"/>
    <w:rsid w:val="0032251C"/>
    <w:rsid w:val="00322F06"/>
    <w:rsid w:val="003234A8"/>
    <w:rsid w:val="00325E6F"/>
    <w:rsid w:val="00326334"/>
    <w:rsid w:val="0032636C"/>
    <w:rsid w:val="0033048F"/>
    <w:rsid w:val="00331255"/>
    <w:rsid w:val="00331310"/>
    <w:rsid w:val="00331336"/>
    <w:rsid w:val="0033203B"/>
    <w:rsid w:val="00332577"/>
    <w:rsid w:val="003329C8"/>
    <w:rsid w:val="00333773"/>
    <w:rsid w:val="00334098"/>
    <w:rsid w:val="00335A1A"/>
    <w:rsid w:val="00335C07"/>
    <w:rsid w:val="0033694E"/>
    <w:rsid w:val="00336E06"/>
    <w:rsid w:val="00337247"/>
    <w:rsid w:val="00337C22"/>
    <w:rsid w:val="003418FE"/>
    <w:rsid w:val="003430A8"/>
    <w:rsid w:val="003432B8"/>
    <w:rsid w:val="00343C81"/>
    <w:rsid w:val="00343F6E"/>
    <w:rsid w:val="0034428B"/>
    <w:rsid w:val="00345BCE"/>
    <w:rsid w:val="00345CDA"/>
    <w:rsid w:val="0034621C"/>
    <w:rsid w:val="003471D2"/>
    <w:rsid w:val="003476E5"/>
    <w:rsid w:val="00350184"/>
    <w:rsid w:val="0035043B"/>
    <w:rsid w:val="003506A7"/>
    <w:rsid w:val="00350ACB"/>
    <w:rsid w:val="00351295"/>
    <w:rsid w:val="00351493"/>
    <w:rsid w:val="00351879"/>
    <w:rsid w:val="003519C6"/>
    <w:rsid w:val="003529F5"/>
    <w:rsid w:val="003534A5"/>
    <w:rsid w:val="00353AE2"/>
    <w:rsid w:val="00354FA0"/>
    <w:rsid w:val="003558C7"/>
    <w:rsid w:val="00355A33"/>
    <w:rsid w:val="00357CEF"/>
    <w:rsid w:val="003602E5"/>
    <w:rsid w:val="00360EDE"/>
    <w:rsid w:val="00361794"/>
    <w:rsid w:val="0036235C"/>
    <w:rsid w:val="003623B8"/>
    <w:rsid w:val="003631C5"/>
    <w:rsid w:val="00363989"/>
    <w:rsid w:val="003639D3"/>
    <w:rsid w:val="00363E9F"/>
    <w:rsid w:val="003647E3"/>
    <w:rsid w:val="0036551C"/>
    <w:rsid w:val="00366957"/>
    <w:rsid w:val="00366E12"/>
    <w:rsid w:val="003706FC"/>
    <w:rsid w:val="0037248B"/>
    <w:rsid w:val="00372E7D"/>
    <w:rsid w:val="0037490A"/>
    <w:rsid w:val="00374965"/>
    <w:rsid w:val="00374FA4"/>
    <w:rsid w:val="00374FCE"/>
    <w:rsid w:val="00376910"/>
    <w:rsid w:val="00376A93"/>
    <w:rsid w:val="00376BE2"/>
    <w:rsid w:val="003771C7"/>
    <w:rsid w:val="003775A7"/>
    <w:rsid w:val="00381B12"/>
    <w:rsid w:val="003827D8"/>
    <w:rsid w:val="00382F49"/>
    <w:rsid w:val="00383070"/>
    <w:rsid w:val="00383222"/>
    <w:rsid w:val="0038340E"/>
    <w:rsid w:val="00383467"/>
    <w:rsid w:val="00384739"/>
    <w:rsid w:val="003850D3"/>
    <w:rsid w:val="00387DC2"/>
    <w:rsid w:val="003900F3"/>
    <w:rsid w:val="003905F1"/>
    <w:rsid w:val="00390B72"/>
    <w:rsid w:val="00392296"/>
    <w:rsid w:val="00392C93"/>
    <w:rsid w:val="00393B6A"/>
    <w:rsid w:val="00393E55"/>
    <w:rsid w:val="0039438E"/>
    <w:rsid w:val="00394AD4"/>
    <w:rsid w:val="003968CF"/>
    <w:rsid w:val="00397DEF"/>
    <w:rsid w:val="003A010B"/>
    <w:rsid w:val="003A04D0"/>
    <w:rsid w:val="003A09AB"/>
    <w:rsid w:val="003A0BA0"/>
    <w:rsid w:val="003A0C4B"/>
    <w:rsid w:val="003A1219"/>
    <w:rsid w:val="003A178A"/>
    <w:rsid w:val="003A21C9"/>
    <w:rsid w:val="003A3C30"/>
    <w:rsid w:val="003A55EE"/>
    <w:rsid w:val="003A6149"/>
    <w:rsid w:val="003A62F5"/>
    <w:rsid w:val="003A646D"/>
    <w:rsid w:val="003A6CD8"/>
    <w:rsid w:val="003A78EC"/>
    <w:rsid w:val="003B0024"/>
    <w:rsid w:val="003B01AA"/>
    <w:rsid w:val="003B0AA4"/>
    <w:rsid w:val="003B0B0D"/>
    <w:rsid w:val="003B0C87"/>
    <w:rsid w:val="003B0FED"/>
    <w:rsid w:val="003B20D1"/>
    <w:rsid w:val="003B2965"/>
    <w:rsid w:val="003B2B05"/>
    <w:rsid w:val="003B3189"/>
    <w:rsid w:val="003B3BBB"/>
    <w:rsid w:val="003B3CC3"/>
    <w:rsid w:val="003B614F"/>
    <w:rsid w:val="003B73A5"/>
    <w:rsid w:val="003B7E78"/>
    <w:rsid w:val="003C0520"/>
    <w:rsid w:val="003C1363"/>
    <w:rsid w:val="003C1892"/>
    <w:rsid w:val="003C1F2C"/>
    <w:rsid w:val="003C21CB"/>
    <w:rsid w:val="003C365C"/>
    <w:rsid w:val="003C3C14"/>
    <w:rsid w:val="003C3F0C"/>
    <w:rsid w:val="003C447F"/>
    <w:rsid w:val="003C46D0"/>
    <w:rsid w:val="003C6C95"/>
    <w:rsid w:val="003D012A"/>
    <w:rsid w:val="003D16A0"/>
    <w:rsid w:val="003D1BA8"/>
    <w:rsid w:val="003D2D67"/>
    <w:rsid w:val="003D2F3C"/>
    <w:rsid w:val="003D564A"/>
    <w:rsid w:val="003D7E88"/>
    <w:rsid w:val="003E08A3"/>
    <w:rsid w:val="003E0C38"/>
    <w:rsid w:val="003E22CA"/>
    <w:rsid w:val="003E39E0"/>
    <w:rsid w:val="003E3A5E"/>
    <w:rsid w:val="003E3BAE"/>
    <w:rsid w:val="003E3BF6"/>
    <w:rsid w:val="003E3F34"/>
    <w:rsid w:val="003E403B"/>
    <w:rsid w:val="003E48C0"/>
    <w:rsid w:val="003E4A48"/>
    <w:rsid w:val="003E5172"/>
    <w:rsid w:val="003E5539"/>
    <w:rsid w:val="003E5714"/>
    <w:rsid w:val="003E576C"/>
    <w:rsid w:val="003E5A10"/>
    <w:rsid w:val="003E5DAA"/>
    <w:rsid w:val="003E658F"/>
    <w:rsid w:val="003E6A9F"/>
    <w:rsid w:val="003E6AB6"/>
    <w:rsid w:val="003E7221"/>
    <w:rsid w:val="003E7C26"/>
    <w:rsid w:val="003E7CEF"/>
    <w:rsid w:val="003F0299"/>
    <w:rsid w:val="003F03FA"/>
    <w:rsid w:val="003F045B"/>
    <w:rsid w:val="003F092A"/>
    <w:rsid w:val="003F0D39"/>
    <w:rsid w:val="003F1179"/>
    <w:rsid w:val="003F259B"/>
    <w:rsid w:val="003F2F98"/>
    <w:rsid w:val="003F4603"/>
    <w:rsid w:val="003F46BC"/>
    <w:rsid w:val="003F5D3F"/>
    <w:rsid w:val="003F63C7"/>
    <w:rsid w:val="003F64B2"/>
    <w:rsid w:val="003F6674"/>
    <w:rsid w:val="003F6909"/>
    <w:rsid w:val="003F691F"/>
    <w:rsid w:val="00401C8B"/>
    <w:rsid w:val="004024B0"/>
    <w:rsid w:val="004025D7"/>
    <w:rsid w:val="00403E80"/>
    <w:rsid w:val="004064CE"/>
    <w:rsid w:val="0040664B"/>
    <w:rsid w:val="00406A07"/>
    <w:rsid w:val="00406EB7"/>
    <w:rsid w:val="00406EC9"/>
    <w:rsid w:val="00410A77"/>
    <w:rsid w:val="00411A74"/>
    <w:rsid w:val="00412C4F"/>
    <w:rsid w:val="004132AE"/>
    <w:rsid w:val="00413C4A"/>
    <w:rsid w:val="0041455B"/>
    <w:rsid w:val="00414614"/>
    <w:rsid w:val="00415917"/>
    <w:rsid w:val="0041652D"/>
    <w:rsid w:val="00416612"/>
    <w:rsid w:val="0041686F"/>
    <w:rsid w:val="00416B7F"/>
    <w:rsid w:val="00417277"/>
    <w:rsid w:val="00420146"/>
    <w:rsid w:val="004220B3"/>
    <w:rsid w:val="00422A2F"/>
    <w:rsid w:val="00424126"/>
    <w:rsid w:val="004244E1"/>
    <w:rsid w:val="0042611B"/>
    <w:rsid w:val="004262A9"/>
    <w:rsid w:val="00427DA9"/>
    <w:rsid w:val="004308D6"/>
    <w:rsid w:val="00430A52"/>
    <w:rsid w:val="00430D43"/>
    <w:rsid w:val="00430D7B"/>
    <w:rsid w:val="004317D1"/>
    <w:rsid w:val="0043199B"/>
    <w:rsid w:val="004321CF"/>
    <w:rsid w:val="0043282B"/>
    <w:rsid w:val="00433A77"/>
    <w:rsid w:val="00433C69"/>
    <w:rsid w:val="0043481D"/>
    <w:rsid w:val="0043532C"/>
    <w:rsid w:val="00435BE0"/>
    <w:rsid w:val="00435E4F"/>
    <w:rsid w:val="00440CB8"/>
    <w:rsid w:val="00440FE5"/>
    <w:rsid w:val="00441059"/>
    <w:rsid w:val="00441ED3"/>
    <w:rsid w:val="0044224A"/>
    <w:rsid w:val="004426B7"/>
    <w:rsid w:val="00442E89"/>
    <w:rsid w:val="00444DC5"/>
    <w:rsid w:val="004458A0"/>
    <w:rsid w:val="00446172"/>
    <w:rsid w:val="004461D5"/>
    <w:rsid w:val="00446875"/>
    <w:rsid w:val="004501F5"/>
    <w:rsid w:val="00451D50"/>
    <w:rsid w:val="00452F4F"/>
    <w:rsid w:val="0045381B"/>
    <w:rsid w:val="0045394E"/>
    <w:rsid w:val="00453DF5"/>
    <w:rsid w:val="0045556A"/>
    <w:rsid w:val="00456D6A"/>
    <w:rsid w:val="0045729D"/>
    <w:rsid w:val="00457317"/>
    <w:rsid w:val="00457D03"/>
    <w:rsid w:val="004604F6"/>
    <w:rsid w:val="00460B88"/>
    <w:rsid w:val="00461B4A"/>
    <w:rsid w:val="004629A2"/>
    <w:rsid w:val="00463205"/>
    <w:rsid w:val="00463687"/>
    <w:rsid w:val="00463AC7"/>
    <w:rsid w:val="00463C40"/>
    <w:rsid w:val="0046423B"/>
    <w:rsid w:val="004677A3"/>
    <w:rsid w:val="004677AA"/>
    <w:rsid w:val="00467FE7"/>
    <w:rsid w:val="004706D1"/>
    <w:rsid w:val="00470B7D"/>
    <w:rsid w:val="00471A07"/>
    <w:rsid w:val="00472505"/>
    <w:rsid w:val="00473C4E"/>
    <w:rsid w:val="00474F4D"/>
    <w:rsid w:val="00475116"/>
    <w:rsid w:val="0047608F"/>
    <w:rsid w:val="0047672D"/>
    <w:rsid w:val="004769A2"/>
    <w:rsid w:val="00476E82"/>
    <w:rsid w:val="00477109"/>
    <w:rsid w:val="00477D3E"/>
    <w:rsid w:val="00477E44"/>
    <w:rsid w:val="004809AE"/>
    <w:rsid w:val="00480A54"/>
    <w:rsid w:val="00480D26"/>
    <w:rsid w:val="00481297"/>
    <w:rsid w:val="00481323"/>
    <w:rsid w:val="0048163C"/>
    <w:rsid w:val="004817EA"/>
    <w:rsid w:val="004818AF"/>
    <w:rsid w:val="00482EE8"/>
    <w:rsid w:val="00483210"/>
    <w:rsid w:val="00483369"/>
    <w:rsid w:val="00483B77"/>
    <w:rsid w:val="00483B91"/>
    <w:rsid w:val="004847AF"/>
    <w:rsid w:val="00484EAB"/>
    <w:rsid w:val="00485CB3"/>
    <w:rsid w:val="004865CC"/>
    <w:rsid w:val="00486D3E"/>
    <w:rsid w:val="004874AD"/>
    <w:rsid w:val="00487807"/>
    <w:rsid w:val="00487837"/>
    <w:rsid w:val="004900A0"/>
    <w:rsid w:val="004905BF"/>
    <w:rsid w:val="00490A13"/>
    <w:rsid w:val="0049197C"/>
    <w:rsid w:val="00492126"/>
    <w:rsid w:val="004925A9"/>
    <w:rsid w:val="00492B91"/>
    <w:rsid w:val="0049352C"/>
    <w:rsid w:val="00493756"/>
    <w:rsid w:val="00494308"/>
    <w:rsid w:val="00494D9B"/>
    <w:rsid w:val="004952BF"/>
    <w:rsid w:val="00495397"/>
    <w:rsid w:val="0049690E"/>
    <w:rsid w:val="0049761E"/>
    <w:rsid w:val="004A1106"/>
    <w:rsid w:val="004A2218"/>
    <w:rsid w:val="004A28B5"/>
    <w:rsid w:val="004A3E07"/>
    <w:rsid w:val="004A3EC1"/>
    <w:rsid w:val="004A52D1"/>
    <w:rsid w:val="004A57FF"/>
    <w:rsid w:val="004A5EA2"/>
    <w:rsid w:val="004A5FF7"/>
    <w:rsid w:val="004B17D9"/>
    <w:rsid w:val="004B17FB"/>
    <w:rsid w:val="004B1B67"/>
    <w:rsid w:val="004B3387"/>
    <w:rsid w:val="004B3AED"/>
    <w:rsid w:val="004B419B"/>
    <w:rsid w:val="004B46DB"/>
    <w:rsid w:val="004B4D48"/>
    <w:rsid w:val="004B551A"/>
    <w:rsid w:val="004B56C4"/>
    <w:rsid w:val="004B6FA7"/>
    <w:rsid w:val="004B7F70"/>
    <w:rsid w:val="004B7F72"/>
    <w:rsid w:val="004C0208"/>
    <w:rsid w:val="004C05EF"/>
    <w:rsid w:val="004C1EE2"/>
    <w:rsid w:val="004C1F0A"/>
    <w:rsid w:val="004C3A73"/>
    <w:rsid w:val="004C408A"/>
    <w:rsid w:val="004C4562"/>
    <w:rsid w:val="004C4733"/>
    <w:rsid w:val="004C4DBA"/>
    <w:rsid w:val="004C6ACF"/>
    <w:rsid w:val="004C6FB1"/>
    <w:rsid w:val="004C756E"/>
    <w:rsid w:val="004C7713"/>
    <w:rsid w:val="004D127A"/>
    <w:rsid w:val="004D1481"/>
    <w:rsid w:val="004D18E6"/>
    <w:rsid w:val="004D1954"/>
    <w:rsid w:val="004D195F"/>
    <w:rsid w:val="004D1C98"/>
    <w:rsid w:val="004D20F4"/>
    <w:rsid w:val="004D2997"/>
    <w:rsid w:val="004D3CBD"/>
    <w:rsid w:val="004D4153"/>
    <w:rsid w:val="004D4E60"/>
    <w:rsid w:val="004D5142"/>
    <w:rsid w:val="004D68CD"/>
    <w:rsid w:val="004D6B74"/>
    <w:rsid w:val="004E14E7"/>
    <w:rsid w:val="004E1C83"/>
    <w:rsid w:val="004E2310"/>
    <w:rsid w:val="004E2932"/>
    <w:rsid w:val="004E3460"/>
    <w:rsid w:val="004E3F24"/>
    <w:rsid w:val="004E5408"/>
    <w:rsid w:val="004E6689"/>
    <w:rsid w:val="004E6EA2"/>
    <w:rsid w:val="004E7254"/>
    <w:rsid w:val="004E7F60"/>
    <w:rsid w:val="004F0F12"/>
    <w:rsid w:val="004F21A5"/>
    <w:rsid w:val="004F22DE"/>
    <w:rsid w:val="004F2D3C"/>
    <w:rsid w:val="004F378B"/>
    <w:rsid w:val="004F4DEA"/>
    <w:rsid w:val="004F51D3"/>
    <w:rsid w:val="004F6E1A"/>
    <w:rsid w:val="004F70EA"/>
    <w:rsid w:val="004F74FA"/>
    <w:rsid w:val="004F7AA9"/>
    <w:rsid w:val="004F7EA2"/>
    <w:rsid w:val="00501EF4"/>
    <w:rsid w:val="00502FE5"/>
    <w:rsid w:val="00503143"/>
    <w:rsid w:val="0050323A"/>
    <w:rsid w:val="00503383"/>
    <w:rsid w:val="0050371A"/>
    <w:rsid w:val="00504251"/>
    <w:rsid w:val="00504588"/>
    <w:rsid w:val="005049CD"/>
    <w:rsid w:val="00504C66"/>
    <w:rsid w:val="00505339"/>
    <w:rsid w:val="005060D8"/>
    <w:rsid w:val="0050613C"/>
    <w:rsid w:val="00506686"/>
    <w:rsid w:val="005067A0"/>
    <w:rsid w:val="005077C5"/>
    <w:rsid w:val="0051067F"/>
    <w:rsid w:val="00511323"/>
    <w:rsid w:val="0051155A"/>
    <w:rsid w:val="00511601"/>
    <w:rsid w:val="00511CD1"/>
    <w:rsid w:val="005120E4"/>
    <w:rsid w:val="0051233B"/>
    <w:rsid w:val="00512C68"/>
    <w:rsid w:val="00512E73"/>
    <w:rsid w:val="00513848"/>
    <w:rsid w:val="005140C5"/>
    <w:rsid w:val="0051423B"/>
    <w:rsid w:val="0051463E"/>
    <w:rsid w:val="00514B09"/>
    <w:rsid w:val="00514E7D"/>
    <w:rsid w:val="0051503E"/>
    <w:rsid w:val="005156B1"/>
    <w:rsid w:val="00516135"/>
    <w:rsid w:val="0051680B"/>
    <w:rsid w:val="00520498"/>
    <w:rsid w:val="00520826"/>
    <w:rsid w:val="00520C13"/>
    <w:rsid w:val="00520DCB"/>
    <w:rsid w:val="005227BC"/>
    <w:rsid w:val="00522CFC"/>
    <w:rsid w:val="00522D0A"/>
    <w:rsid w:val="00522F98"/>
    <w:rsid w:val="005244C9"/>
    <w:rsid w:val="005251DB"/>
    <w:rsid w:val="00526B4B"/>
    <w:rsid w:val="005277E7"/>
    <w:rsid w:val="0053006D"/>
    <w:rsid w:val="00530977"/>
    <w:rsid w:val="005317EE"/>
    <w:rsid w:val="00531F76"/>
    <w:rsid w:val="00532119"/>
    <w:rsid w:val="00532510"/>
    <w:rsid w:val="005326A8"/>
    <w:rsid w:val="00532CD2"/>
    <w:rsid w:val="00534818"/>
    <w:rsid w:val="00534832"/>
    <w:rsid w:val="005350E5"/>
    <w:rsid w:val="0053565A"/>
    <w:rsid w:val="00536470"/>
    <w:rsid w:val="00537064"/>
    <w:rsid w:val="005409A2"/>
    <w:rsid w:val="005415C3"/>
    <w:rsid w:val="00543729"/>
    <w:rsid w:val="005455D9"/>
    <w:rsid w:val="00545A1C"/>
    <w:rsid w:val="005465F2"/>
    <w:rsid w:val="00550497"/>
    <w:rsid w:val="00550EE5"/>
    <w:rsid w:val="0055231F"/>
    <w:rsid w:val="00553388"/>
    <w:rsid w:val="005536AF"/>
    <w:rsid w:val="00553733"/>
    <w:rsid w:val="00553D8B"/>
    <w:rsid w:val="00554271"/>
    <w:rsid w:val="005542F0"/>
    <w:rsid w:val="00555012"/>
    <w:rsid w:val="0055605A"/>
    <w:rsid w:val="00556CC6"/>
    <w:rsid w:val="00556DBE"/>
    <w:rsid w:val="00557E35"/>
    <w:rsid w:val="0056058D"/>
    <w:rsid w:val="0056170E"/>
    <w:rsid w:val="0056224A"/>
    <w:rsid w:val="005639E7"/>
    <w:rsid w:val="0056422E"/>
    <w:rsid w:val="00564B54"/>
    <w:rsid w:val="00566EE2"/>
    <w:rsid w:val="00567332"/>
    <w:rsid w:val="0056784B"/>
    <w:rsid w:val="00570044"/>
    <w:rsid w:val="00571F02"/>
    <w:rsid w:val="0057276A"/>
    <w:rsid w:val="00573DE0"/>
    <w:rsid w:val="00573DFC"/>
    <w:rsid w:val="00574095"/>
    <w:rsid w:val="00574A37"/>
    <w:rsid w:val="00574B4C"/>
    <w:rsid w:val="0057581A"/>
    <w:rsid w:val="00577246"/>
    <w:rsid w:val="005772D5"/>
    <w:rsid w:val="0057742C"/>
    <w:rsid w:val="00580619"/>
    <w:rsid w:val="00580735"/>
    <w:rsid w:val="00581486"/>
    <w:rsid w:val="00584441"/>
    <w:rsid w:val="00584D00"/>
    <w:rsid w:val="00584D05"/>
    <w:rsid w:val="00585709"/>
    <w:rsid w:val="00586912"/>
    <w:rsid w:val="00586D3A"/>
    <w:rsid w:val="00586D58"/>
    <w:rsid w:val="00587140"/>
    <w:rsid w:val="00587974"/>
    <w:rsid w:val="00590940"/>
    <w:rsid w:val="005916FF"/>
    <w:rsid w:val="00591C7F"/>
    <w:rsid w:val="00591F30"/>
    <w:rsid w:val="005927D6"/>
    <w:rsid w:val="00592CD6"/>
    <w:rsid w:val="00593021"/>
    <w:rsid w:val="0059355B"/>
    <w:rsid w:val="00593627"/>
    <w:rsid w:val="00594060"/>
    <w:rsid w:val="005940A6"/>
    <w:rsid w:val="0059458C"/>
    <w:rsid w:val="0059511E"/>
    <w:rsid w:val="00595C1F"/>
    <w:rsid w:val="005964C3"/>
    <w:rsid w:val="00596796"/>
    <w:rsid w:val="00596B18"/>
    <w:rsid w:val="005A0456"/>
    <w:rsid w:val="005A091E"/>
    <w:rsid w:val="005A1452"/>
    <w:rsid w:val="005A2129"/>
    <w:rsid w:val="005A2511"/>
    <w:rsid w:val="005A6396"/>
    <w:rsid w:val="005A68D2"/>
    <w:rsid w:val="005A6D7F"/>
    <w:rsid w:val="005B09E4"/>
    <w:rsid w:val="005B1B84"/>
    <w:rsid w:val="005B2A88"/>
    <w:rsid w:val="005B2D2B"/>
    <w:rsid w:val="005B2D91"/>
    <w:rsid w:val="005B2F49"/>
    <w:rsid w:val="005B383F"/>
    <w:rsid w:val="005B3933"/>
    <w:rsid w:val="005B4AC3"/>
    <w:rsid w:val="005B4B6E"/>
    <w:rsid w:val="005B5314"/>
    <w:rsid w:val="005B72BF"/>
    <w:rsid w:val="005B73DA"/>
    <w:rsid w:val="005B7EA6"/>
    <w:rsid w:val="005C17E6"/>
    <w:rsid w:val="005C1CAB"/>
    <w:rsid w:val="005C1EC7"/>
    <w:rsid w:val="005C313E"/>
    <w:rsid w:val="005C34D3"/>
    <w:rsid w:val="005C3934"/>
    <w:rsid w:val="005C3C41"/>
    <w:rsid w:val="005C400D"/>
    <w:rsid w:val="005C5374"/>
    <w:rsid w:val="005C59FF"/>
    <w:rsid w:val="005C5B1F"/>
    <w:rsid w:val="005C5C36"/>
    <w:rsid w:val="005C6B82"/>
    <w:rsid w:val="005C7153"/>
    <w:rsid w:val="005C783F"/>
    <w:rsid w:val="005C7DBC"/>
    <w:rsid w:val="005D10D9"/>
    <w:rsid w:val="005D1D2E"/>
    <w:rsid w:val="005D27A3"/>
    <w:rsid w:val="005D2A14"/>
    <w:rsid w:val="005D3DBC"/>
    <w:rsid w:val="005D43EF"/>
    <w:rsid w:val="005D47F9"/>
    <w:rsid w:val="005D583D"/>
    <w:rsid w:val="005D5C1D"/>
    <w:rsid w:val="005D5FCA"/>
    <w:rsid w:val="005D66BF"/>
    <w:rsid w:val="005E25F8"/>
    <w:rsid w:val="005E29F6"/>
    <w:rsid w:val="005E3C94"/>
    <w:rsid w:val="005E7219"/>
    <w:rsid w:val="005E7EA0"/>
    <w:rsid w:val="005F28B7"/>
    <w:rsid w:val="005F3E97"/>
    <w:rsid w:val="005F4470"/>
    <w:rsid w:val="005F5872"/>
    <w:rsid w:val="005F5E30"/>
    <w:rsid w:val="005F670F"/>
    <w:rsid w:val="005F7575"/>
    <w:rsid w:val="00600554"/>
    <w:rsid w:val="00600D86"/>
    <w:rsid w:val="006010F7"/>
    <w:rsid w:val="006040BA"/>
    <w:rsid w:val="006041E3"/>
    <w:rsid w:val="00604392"/>
    <w:rsid w:val="006043DB"/>
    <w:rsid w:val="00605362"/>
    <w:rsid w:val="006061C1"/>
    <w:rsid w:val="00606B09"/>
    <w:rsid w:val="00607BF3"/>
    <w:rsid w:val="00607C75"/>
    <w:rsid w:val="006100BC"/>
    <w:rsid w:val="006101BF"/>
    <w:rsid w:val="006109EB"/>
    <w:rsid w:val="00610D43"/>
    <w:rsid w:val="006116A0"/>
    <w:rsid w:val="00612352"/>
    <w:rsid w:val="00612DD0"/>
    <w:rsid w:val="00614B63"/>
    <w:rsid w:val="00615DA4"/>
    <w:rsid w:val="006161A9"/>
    <w:rsid w:val="00616B69"/>
    <w:rsid w:val="00620FF3"/>
    <w:rsid w:val="00621BF4"/>
    <w:rsid w:val="00622B5E"/>
    <w:rsid w:val="00622BF7"/>
    <w:rsid w:val="00622CB4"/>
    <w:rsid w:val="00622CD9"/>
    <w:rsid w:val="00622FDE"/>
    <w:rsid w:val="006232D7"/>
    <w:rsid w:val="00623780"/>
    <w:rsid w:val="0062381A"/>
    <w:rsid w:val="006241F4"/>
    <w:rsid w:val="00624AAD"/>
    <w:rsid w:val="0062557E"/>
    <w:rsid w:val="00625983"/>
    <w:rsid w:val="00626129"/>
    <w:rsid w:val="00626A17"/>
    <w:rsid w:val="006274BE"/>
    <w:rsid w:val="00630E85"/>
    <w:rsid w:val="00630EB7"/>
    <w:rsid w:val="00631091"/>
    <w:rsid w:val="00631817"/>
    <w:rsid w:val="00635234"/>
    <w:rsid w:val="0063583A"/>
    <w:rsid w:val="00635B8A"/>
    <w:rsid w:val="00636069"/>
    <w:rsid w:val="00636921"/>
    <w:rsid w:val="00636C90"/>
    <w:rsid w:val="00636F66"/>
    <w:rsid w:val="0064086F"/>
    <w:rsid w:val="00640A13"/>
    <w:rsid w:val="00640AA9"/>
    <w:rsid w:val="0064197A"/>
    <w:rsid w:val="0064240D"/>
    <w:rsid w:val="0064295A"/>
    <w:rsid w:val="0064351E"/>
    <w:rsid w:val="00643DE0"/>
    <w:rsid w:val="006448EF"/>
    <w:rsid w:val="006457AF"/>
    <w:rsid w:val="00647F65"/>
    <w:rsid w:val="006503C2"/>
    <w:rsid w:val="00650520"/>
    <w:rsid w:val="00650B73"/>
    <w:rsid w:val="00650C6C"/>
    <w:rsid w:val="0065111E"/>
    <w:rsid w:val="00651536"/>
    <w:rsid w:val="006518C6"/>
    <w:rsid w:val="0065232D"/>
    <w:rsid w:val="006545F2"/>
    <w:rsid w:val="00655165"/>
    <w:rsid w:val="0065542B"/>
    <w:rsid w:val="00655458"/>
    <w:rsid w:val="006564A5"/>
    <w:rsid w:val="00656AAB"/>
    <w:rsid w:val="00657590"/>
    <w:rsid w:val="00657EB4"/>
    <w:rsid w:val="00660621"/>
    <w:rsid w:val="00660B87"/>
    <w:rsid w:val="00660E70"/>
    <w:rsid w:val="006611E7"/>
    <w:rsid w:val="00661BD9"/>
    <w:rsid w:val="006626B0"/>
    <w:rsid w:val="00663068"/>
    <w:rsid w:val="00663289"/>
    <w:rsid w:val="00663539"/>
    <w:rsid w:val="00663595"/>
    <w:rsid w:val="00663C36"/>
    <w:rsid w:val="006653F9"/>
    <w:rsid w:val="0066640D"/>
    <w:rsid w:val="00667236"/>
    <w:rsid w:val="006677FF"/>
    <w:rsid w:val="00670CB4"/>
    <w:rsid w:val="006718B4"/>
    <w:rsid w:val="00671BCB"/>
    <w:rsid w:val="00671D27"/>
    <w:rsid w:val="00673827"/>
    <w:rsid w:val="00674E3F"/>
    <w:rsid w:val="00675084"/>
    <w:rsid w:val="006754FF"/>
    <w:rsid w:val="0067566A"/>
    <w:rsid w:val="006771AC"/>
    <w:rsid w:val="006771FD"/>
    <w:rsid w:val="00677E2B"/>
    <w:rsid w:val="00680C14"/>
    <w:rsid w:val="0068134F"/>
    <w:rsid w:val="0068158C"/>
    <w:rsid w:val="006815CE"/>
    <w:rsid w:val="00682C7D"/>
    <w:rsid w:val="006835FC"/>
    <w:rsid w:val="0068427E"/>
    <w:rsid w:val="00684A61"/>
    <w:rsid w:val="00684B65"/>
    <w:rsid w:val="006869ED"/>
    <w:rsid w:val="00686E67"/>
    <w:rsid w:val="0069007B"/>
    <w:rsid w:val="006913DA"/>
    <w:rsid w:val="00692519"/>
    <w:rsid w:val="00692E1F"/>
    <w:rsid w:val="00693504"/>
    <w:rsid w:val="0069412A"/>
    <w:rsid w:val="00694470"/>
    <w:rsid w:val="006951C8"/>
    <w:rsid w:val="00695369"/>
    <w:rsid w:val="00695626"/>
    <w:rsid w:val="006968E4"/>
    <w:rsid w:val="00696B73"/>
    <w:rsid w:val="00696C4E"/>
    <w:rsid w:val="006973BE"/>
    <w:rsid w:val="0069754C"/>
    <w:rsid w:val="006975DB"/>
    <w:rsid w:val="00697ED9"/>
    <w:rsid w:val="006A0CA6"/>
    <w:rsid w:val="006A1475"/>
    <w:rsid w:val="006A1481"/>
    <w:rsid w:val="006A1788"/>
    <w:rsid w:val="006A288B"/>
    <w:rsid w:val="006A32B7"/>
    <w:rsid w:val="006A3317"/>
    <w:rsid w:val="006A33C6"/>
    <w:rsid w:val="006A3A59"/>
    <w:rsid w:val="006A7201"/>
    <w:rsid w:val="006A7B0A"/>
    <w:rsid w:val="006B0843"/>
    <w:rsid w:val="006B2474"/>
    <w:rsid w:val="006B253D"/>
    <w:rsid w:val="006B2B32"/>
    <w:rsid w:val="006B5C79"/>
    <w:rsid w:val="006B6B94"/>
    <w:rsid w:val="006B708A"/>
    <w:rsid w:val="006B7311"/>
    <w:rsid w:val="006B777D"/>
    <w:rsid w:val="006B7E69"/>
    <w:rsid w:val="006C00E3"/>
    <w:rsid w:val="006C11E6"/>
    <w:rsid w:val="006C199B"/>
    <w:rsid w:val="006C1CED"/>
    <w:rsid w:val="006C1ED5"/>
    <w:rsid w:val="006C36ED"/>
    <w:rsid w:val="006C3EC9"/>
    <w:rsid w:val="006C5685"/>
    <w:rsid w:val="006C592B"/>
    <w:rsid w:val="006C6295"/>
    <w:rsid w:val="006C6BD8"/>
    <w:rsid w:val="006C78A7"/>
    <w:rsid w:val="006C7D0F"/>
    <w:rsid w:val="006D0BBB"/>
    <w:rsid w:val="006D13BD"/>
    <w:rsid w:val="006D1991"/>
    <w:rsid w:val="006D1A7C"/>
    <w:rsid w:val="006D2A5B"/>
    <w:rsid w:val="006D2BC7"/>
    <w:rsid w:val="006D36A0"/>
    <w:rsid w:val="006D40CE"/>
    <w:rsid w:val="006D6351"/>
    <w:rsid w:val="006D6418"/>
    <w:rsid w:val="006D7EE5"/>
    <w:rsid w:val="006D7FB5"/>
    <w:rsid w:val="006E05C0"/>
    <w:rsid w:val="006E07E2"/>
    <w:rsid w:val="006E0ECF"/>
    <w:rsid w:val="006E130B"/>
    <w:rsid w:val="006E2CC9"/>
    <w:rsid w:val="006E3712"/>
    <w:rsid w:val="006E3AAB"/>
    <w:rsid w:val="006E3D06"/>
    <w:rsid w:val="006E470A"/>
    <w:rsid w:val="006E609D"/>
    <w:rsid w:val="006E686C"/>
    <w:rsid w:val="006F068B"/>
    <w:rsid w:val="006F09C1"/>
    <w:rsid w:val="006F0E08"/>
    <w:rsid w:val="006F0F43"/>
    <w:rsid w:val="006F1227"/>
    <w:rsid w:val="006F3D35"/>
    <w:rsid w:val="006F4BD2"/>
    <w:rsid w:val="006F4E56"/>
    <w:rsid w:val="006F5477"/>
    <w:rsid w:val="006F55AD"/>
    <w:rsid w:val="006F5C84"/>
    <w:rsid w:val="006F65C5"/>
    <w:rsid w:val="006F7139"/>
    <w:rsid w:val="006F7E72"/>
    <w:rsid w:val="007000CD"/>
    <w:rsid w:val="00700BF0"/>
    <w:rsid w:val="00701592"/>
    <w:rsid w:val="0070185D"/>
    <w:rsid w:val="00703329"/>
    <w:rsid w:val="00703599"/>
    <w:rsid w:val="00703DE7"/>
    <w:rsid w:val="00703F6D"/>
    <w:rsid w:val="00705AB9"/>
    <w:rsid w:val="007061A4"/>
    <w:rsid w:val="007108EA"/>
    <w:rsid w:val="00712A00"/>
    <w:rsid w:val="0071409E"/>
    <w:rsid w:val="00714371"/>
    <w:rsid w:val="00714CA0"/>
    <w:rsid w:val="007150C0"/>
    <w:rsid w:val="0071526B"/>
    <w:rsid w:val="00716905"/>
    <w:rsid w:val="0071702B"/>
    <w:rsid w:val="00717D9C"/>
    <w:rsid w:val="00717E92"/>
    <w:rsid w:val="00720358"/>
    <w:rsid w:val="007215B9"/>
    <w:rsid w:val="0072272D"/>
    <w:rsid w:val="007228B6"/>
    <w:rsid w:val="00722F5C"/>
    <w:rsid w:val="0072318D"/>
    <w:rsid w:val="0072350E"/>
    <w:rsid w:val="00724721"/>
    <w:rsid w:val="00725C93"/>
    <w:rsid w:val="00726D32"/>
    <w:rsid w:val="00730209"/>
    <w:rsid w:val="00730A61"/>
    <w:rsid w:val="00730D70"/>
    <w:rsid w:val="00730DE3"/>
    <w:rsid w:val="00731138"/>
    <w:rsid w:val="00731262"/>
    <w:rsid w:val="00731414"/>
    <w:rsid w:val="007321B0"/>
    <w:rsid w:val="00733141"/>
    <w:rsid w:val="007332C2"/>
    <w:rsid w:val="00733F85"/>
    <w:rsid w:val="00734581"/>
    <w:rsid w:val="007349CF"/>
    <w:rsid w:val="0073503D"/>
    <w:rsid w:val="0074084D"/>
    <w:rsid w:val="007409C4"/>
    <w:rsid w:val="007410FC"/>
    <w:rsid w:val="00741A9F"/>
    <w:rsid w:val="0074204E"/>
    <w:rsid w:val="007426E5"/>
    <w:rsid w:val="00742C4F"/>
    <w:rsid w:val="007433F5"/>
    <w:rsid w:val="007439C9"/>
    <w:rsid w:val="007441C6"/>
    <w:rsid w:val="007444B7"/>
    <w:rsid w:val="00744FE1"/>
    <w:rsid w:val="00745459"/>
    <w:rsid w:val="00746916"/>
    <w:rsid w:val="00746F6C"/>
    <w:rsid w:val="0074741C"/>
    <w:rsid w:val="00747435"/>
    <w:rsid w:val="00747ED6"/>
    <w:rsid w:val="0075039D"/>
    <w:rsid w:val="00750677"/>
    <w:rsid w:val="00750B7B"/>
    <w:rsid w:val="00750CC0"/>
    <w:rsid w:val="00751329"/>
    <w:rsid w:val="007517E1"/>
    <w:rsid w:val="0075256A"/>
    <w:rsid w:val="00752DE1"/>
    <w:rsid w:val="00753C64"/>
    <w:rsid w:val="00753D3F"/>
    <w:rsid w:val="00753EB4"/>
    <w:rsid w:val="00754461"/>
    <w:rsid w:val="00754D67"/>
    <w:rsid w:val="00756CDC"/>
    <w:rsid w:val="00757A7B"/>
    <w:rsid w:val="00760394"/>
    <w:rsid w:val="00760FA2"/>
    <w:rsid w:val="00761C2E"/>
    <w:rsid w:val="00762F38"/>
    <w:rsid w:val="007630CC"/>
    <w:rsid w:val="00763AF4"/>
    <w:rsid w:val="0076486D"/>
    <w:rsid w:val="007648B4"/>
    <w:rsid w:val="00764F2D"/>
    <w:rsid w:val="007658C9"/>
    <w:rsid w:val="0076596D"/>
    <w:rsid w:val="00765B7C"/>
    <w:rsid w:val="00765CB2"/>
    <w:rsid w:val="00765E79"/>
    <w:rsid w:val="00766FA9"/>
    <w:rsid w:val="0076703F"/>
    <w:rsid w:val="00767C04"/>
    <w:rsid w:val="00770385"/>
    <w:rsid w:val="0077198B"/>
    <w:rsid w:val="00772554"/>
    <w:rsid w:val="00772B83"/>
    <w:rsid w:val="007730CD"/>
    <w:rsid w:val="007733C8"/>
    <w:rsid w:val="007767A2"/>
    <w:rsid w:val="007767BE"/>
    <w:rsid w:val="00777578"/>
    <w:rsid w:val="007779A4"/>
    <w:rsid w:val="00777B81"/>
    <w:rsid w:val="00781A04"/>
    <w:rsid w:val="007831C4"/>
    <w:rsid w:val="007839C8"/>
    <w:rsid w:val="00783B4A"/>
    <w:rsid w:val="00783DBA"/>
    <w:rsid w:val="0078402F"/>
    <w:rsid w:val="00784CB7"/>
    <w:rsid w:val="00784E52"/>
    <w:rsid w:val="00785F2A"/>
    <w:rsid w:val="007860FF"/>
    <w:rsid w:val="00786A7D"/>
    <w:rsid w:val="00787304"/>
    <w:rsid w:val="007906A9"/>
    <w:rsid w:val="00791B53"/>
    <w:rsid w:val="00791D6E"/>
    <w:rsid w:val="0079207E"/>
    <w:rsid w:val="00792D78"/>
    <w:rsid w:val="00792ED3"/>
    <w:rsid w:val="0079343A"/>
    <w:rsid w:val="00794031"/>
    <w:rsid w:val="00794255"/>
    <w:rsid w:val="0079456E"/>
    <w:rsid w:val="0079478E"/>
    <w:rsid w:val="007955F6"/>
    <w:rsid w:val="00795D75"/>
    <w:rsid w:val="00796E8F"/>
    <w:rsid w:val="00797256"/>
    <w:rsid w:val="00797743"/>
    <w:rsid w:val="007979F1"/>
    <w:rsid w:val="00797D6E"/>
    <w:rsid w:val="007A33D8"/>
    <w:rsid w:val="007A3454"/>
    <w:rsid w:val="007A36D1"/>
    <w:rsid w:val="007A3CCE"/>
    <w:rsid w:val="007A42BA"/>
    <w:rsid w:val="007A5B98"/>
    <w:rsid w:val="007A71EB"/>
    <w:rsid w:val="007A73CE"/>
    <w:rsid w:val="007B0881"/>
    <w:rsid w:val="007B1699"/>
    <w:rsid w:val="007B26BD"/>
    <w:rsid w:val="007B4000"/>
    <w:rsid w:val="007B43C0"/>
    <w:rsid w:val="007B4FAA"/>
    <w:rsid w:val="007B51BF"/>
    <w:rsid w:val="007B5398"/>
    <w:rsid w:val="007B6147"/>
    <w:rsid w:val="007B6212"/>
    <w:rsid w:val="007B6288"/>
    <w:rsid w:val="007B65E6"/>
    <w:rsid w:val="007C04FF"/>
    <w:rsid w:val="007C2391"/>
    <w:rsid w:val="007C367B"/>
    <w:rsid w:val="007C4429"/>
    <w:rsid w:val="007C454E"/>
    <w:rsid w:val="007C5BD9"/>
    <w:rsid w:val="007C6C94"/>
    <w:rsid w:val="007C7244"/>
    <w:rsid w:val="007C735A"/>
    <w:rsid w:val="007D1248"/>
    <w:rsid w:val="007D1FD9"/>
    <w:rsid w:val="007D26DC"/>
    <w:rsid w:val="007D29A2"/>
    <w:rsid w:val="007D3357"/>
    <w:rsid w:val="007D355A"/>
    <w:rsid w:val="007D395E"/>
    <w:rsid w:val="007D39A2"/>
    <w:rsid w:val="007D3E38"/>
    <w:rsid w:val="007D438D"/>
    <w:rsid w:val="007D4411"/>
    <w:rsid w:val="007D489B"/>
    <w:rsid w:val="007D4F13"/>
    <w:rsid w:val="007D607C"/>
    <w:rsid w:val="007D6CC0"/>
    <w:rsid w:val="007E071E"/>
    <w:rsid w:val="007E07A6"/>
    <w:rsid w:val="007E1274"/>
    <w:rsid w:val="007E2592"/>
    <w:rsid w:val="007E2633"/>
    <w:rsid w:val="007E2B91"/>
    <w:rsid w:val="007E4B0A"/>
    <w:rsid w:val="007E52C6"/>
    <w:rsid w:val="007E5312"/>
    <w:rsid w:val="007E5BFB"/>
    <w:rsid w:val="007E775A"/>
    <w:rsid w:val="007F105F"/>
    <w:rsid w:val="007F2E2E"/>
    <w:rsid w:val="007F2F17"/>
    <w:rsid w:val="007F30E2"/>
    <w:rsid w:val="007F353C"/>
    <w:rsid w:val="007F452C"/>
    <w:rsid w:val="007F4D80"/>
    <w:rsid w:val="007F53F5"/>
    <w:rsid w:val="007F54D1"/>
    <w:rsid w:val="007F63B2"/>
    <w:rsid w:val="007F7593"/>
    <w:rsid w:val="007F7EFB"/>
    <w:rsid w:val="00801585"/>
    <w:rsid w:val="008034AE"/>
    <w:rsid w:val="008038F7"/>
    <w:rsid w:val="00804BB7"/>
    <w:rsid w:val="00805B4F"/>
    <w:rsid w:val="0080634F"/>
    <w:rsid w:val="0080644F"/>
    <w:rsid w:val="00806476"/>
    <w:rsid w:val="008069B2"/>
    <w:rsid w:val="00806F5C"/>
    <w:rsid w:val="00807800"/>
    <w:rsid w:val="00810A8E"/>
    <w:rsid w:val="008121C1"/>
    <w:rsid w:val="008127BA"/>
    <w:rsid w:val="00812A0D"/>
    <w:rsid w:val="00812B08"/>
    <w:rsid w:val="00813275"/>
    <w:rsid w:val="00814786"/>
    <w:rsid w:val="00814D6F"/>
    <w:rsid w:val="0081588B"/>
    <w:rsid w:val="008159BD"/>
    <w:rsid w:val="008161D3"/>
    <w:rsid w:val="00816448"/>
    <w:rsid w:val="008164A1"/>
    <w:rsid w:val="008165E6"/>
    <w:rsid w:val="00816649"/>
    <w:rsid w:val="00816C0E"/>
    <w:rsid w:val="00816E8B"/>
    <w:rsid w:val="00817510"/>
    <w:rsid w:val="008176A9"/>
    <w:rsid w:val="008177AA"/>
    <w:rsid w:val="00817986"/>
    <w:rsid w:val="008179C8"/>
    <w:rsid w:val="00820232"/>
    <w:rsid w:val="008206F5"/>
    <w:rsid w:val="008208D8"/>
    <w:rsid w:val="008215A5"/>
    <w:rsid w:val="00821703"/>
    <w:rsid w:val="00821882"/>
    <w:rsid w:val="00822A62"/>
    <w:rsid w:val="008236A8"/>
    <w:rsid w:val="00823959"/>
    <w:rsid w:val="00823E9A"/>
    <w:rsid w:val="008253B7"/>
    <w:rsid w:val="008255A6"/>
    <w:rsid w:val="0082653F"/>
    <w:rsid w:val="008266B5"/>
    <w:rsid w:val="00826D17"/>
    <w:rsid w:val="008303F2"/>
    <w:rsid w:val="00830B75"/>
    <w:rsid w:val="0083102C"/>
    <w:rsid w:val="00831D1B"/>
    <w:rsid w:val="00832D70"/>
    <w:rsid w:val="00833B29"/>
    <w:rsid w:val="00834A41"/>
    <w:rsid w:val="008350D8"/>
    <w:rsid w:val="00835214"/>
    <w:rsid w:val="008353B4"/>
    <w:rsid w:val="00835EAC"/>
    <w:rsid w:val="008361A4"/>
    <w:rsid w:val="00836CB3"/>
    <w:rsid w:val="0083744E"/>
    <w:rsid w:val="00837A9D"/>
    <w:rsid w:val="008406E4"/>
    <w:rsid w:val="008410E4"/>
    <w:rsid w:val="00841E62"/>
    <w:rsid w:val="008421E5"/>
    <w:rsid w:val="00842633"/>
    <w:rsid w:val="008426C1"/>
    <w:rsid w:val="00842934"/>
    <w:rsid w:val="00842E3C"/>
    <w:rsid w:val="008462C8"/>
    <w:rsid w:val="00846920"/>
    <w:rsid w:val="008500DC"/>
    <w:rsid w:val="00850563"/>
    <w:rsid w:val="0085124C"/>
    <w:rsid w:val="00852502"/>
    <w:rsid w:val="00853C5F"/>
    <w:rsid w:val="0085587D"/>
    <w:rsid w:val="008565AD"/>
    <w:rsid w:val="00861CA7"/>
    <w:rsid w:val="00862084"/>
    <w:rsid w:val="00862AB8"/>
    <w:rsid w:val="00863417"/>
    <w:rsid w:val="00863D38"/>
    <w:rsid w:val="00867A01"/>
    <w:rsid w:val="0087085D"/>
    <w:rsid w:val="00870C79"/>
    <w:rsid w:val="00871F72"/>
    <w:rsid w:val="00872058"/>
    <w:rsid w:val="008724A1"/>
    <w:rsid w:val="00872545"/>
    <w:rsid w:val="00873718"/>
    <w:rsid w:val="00873A11"/>
    <w:rsid w:val="00875A8E"/>
    <w:rsid w:val="00875F1D"/>
    <w:rsid w:val="00876D3E"/>
    <w:rsid w:val="00876FD3"/>
    <w:rsid w:val="0088177C"/>
    <w:rsid w:val="00884BFF"/>
    <w:rsid w:val="008858B6"/>
    <w:rsid w:val="00885DF1"/>
    <w:rsid w:val="008862D1"/>
    <w:rsid w:val="00886D6D"/>
    <w:rsid w:val="00887A6F"/>
    <w:rsid w:val="00890493"/>
    <w:rsid w:val="008911A0"/>
    <w:rsid w:val="00892875"/>
    <w:rsid w:val="00892F39"/>
    <w:rsid w:val="00893806"/>
    <w:rsid w:val="0089427A"/>
    <w:rsid w:val="00895C35"/>
    <w:rsid w:val="0089625D"/>
    <w:rsid w:val="008962D3"/>
    <w:rsid w:val="0089747C"/>
    <w:rsid w:val="00897A61"/>
    <w:rsid w:val="00897BF3"/>
    <w:rsid w:val="00897F16"/>
    <w:rsid w:val="008A11A8"/>
    <w:rsid w:val="008A11AD"/>
    <w:rsid w:val="008A1ED3"/>
    <w:rsid w:val="008A225A"/>
    <w:rsid w:val="008A38BA"/>
    <w:rsid w:val="008A394C"/>
    <w:rsid w:val="008A55AC"/>
    <w:rsid w:val="008A5A45"/>
    <w:rsid w:val="008A5B01"/>
    <w:rsid w:val="008A63FC"/>
    <w:rsid w:val="008A66B5"/>
    <w:rsid w:val="008A69B3"/>
    <w:rsid w:val="008A753E"/>
    <w:rsid w:val="008A7A0E"/>
    <w:rsid w:val="008B0190"/>
    <w:rsid w:val="008B07B7"/>
    <w:rsid w:val="008B1333"/>
    <w:rsid w:val="008B1889"/>
    <w:rsid w:val="008B282F"/>
    <w:rsid w:val="008B3725"/>
    <w:rsid w:val="008B3DE0"/>
    <w:rsid w:val="008B48C4"/>
    <w:rsid w:val="008B4B92"/>
    <w:rsid w:val="008B5AC0"/>
    <w:rsid w:val="008B5CAB"/>
    <w:rsid w:val="008B6127"/>
    <w:rsid w:val="008B6ADB"/>
    <w:rsid w:val="008B6B40"/>
    <w:rsid w:val="008B6ECF"/>
    <w:rsid w:val="008C01EC"/>
    <w:rsid w:val="008C053C"/>
    <w:rsid w:val="008C05FC"/>
    <w:rsid w:val="008C06BA"/>
    <w:rsid w:val="008C08E1"/>
    <w:rsid w:val="008C21C2"/>
    <w:rsid w:val="008C37D9"/>
    <w:rsid w:val="008C427A"/>
    <w:rsid w:val="008C4584"/>
    <w:rsid w:val="008C5EB2"/>
    <w:rsid w:val="008C70F5"/>
    <w:rsid w:val="008C7680"/>
    <w:rsid w:val="008D0C8F"/>
    <w:rsid w:val="008D1380"/>
    <w:rsid w:val="008D14B4"/>
    <w:rsid w:val="008D1E06"/>
    <w:rsid w:val="008D2D07"/>
    <w:rsid w:val="008D2DDB"/>
    <w:rsid w:val="008D30A0"/>
    <w:rsid w:val="008D3FC3"/>
    <w:rsid w:val="008D4366"/>
    <w:rsid w:val="008D5652"/>
    <w:rsid w:val="008D5A90"/>
    <w:rsid w:val="008D6609"/>
    <w:rsid w:val="008D66B7"/>
    <w:rsid w:val="008D688A"/>
    <w:rsid w:val="008D6B4F"/>
    <w:rsid w:val="008D6B70"/>
    <w:rsid w:val="008D6C38"/>
    <w:rsid w:val="008D72BA"/>
    <w:rsid w:val="008D7F2E"/>
    <w:rsid w:val="008E0EB1"/>
    <w:rsid w:val="008E14D7"/>
    <w:rsid w:val="008E1AD5"/>
    <w:rsid w:val="008E1FB6"/>
    <w:rsid w:val="008E20FA"/>
    <w:rsid w:val="008E278D"/>
    <w:rsid w:val="008E3668"/>
    <w:rsid w:val="008E434C"/>
    <w:rsid w:val="008E446B"/>
    <w:rsid w:val="008E5F56"/>
    <w:rsid w:val="008E6765"/>
    <w:rsid w:val="008E6FA8"/>
    <w:rsid w:val="008E73FF"/>
    <w:rsid w:val="008E781B"/>
    <w:rsid w:val="008F00F2"/>
    <w:rsid w:val="008F1406"/>
    <w:rsid w:val="008F27E4"/>
    <w:rsid w:val="008F2C34"/>
    <w:rsid w:val="008F2CEE"/>
    <w:rsid w:val="008F2F19"/>
    <w:rsid w:val="008F3F98"/>
    <w:rsid w:val="008F506F"/>
    <w:rsid w:val="008F515C"/>
    <w:rsid w:val="008F5AC6"/>
    <w:rsid w:val="008F7134"/>
    <w:rsid w:val="008F74BF"/>
    <w:rsid w:val="008F7A0C"/>
    <w:rsid w:val="008F7ACA"/>
    <w:rsid w:val="008F7BEF"/>
    <w:rsid w:val="009017CF"/>
    <w:rsid w:val="00901A99"/>
    <w:rsid w:val="00903513"/>
    <w:rsid w:val="00904748"/>
    <w:rsid w:val="009050C3"/>
    <w:rsid w:val="0090536D"/>
    <w:rsid w:val="009053F0"/>
    <w:rsid w:val="00905B88"/>
    <w:rsid w:val="0090614B"/>
    <w:rsid w:val="00906756"/>
    <w:rsid w:val="0090733F"/>
    <w:rsid w:val="00907DC7"/>
    <w:rsid w:val="00910118"/>
    <w:rsid w:val="00910220"/>
    <w:rsid w:val="009113C3"/>
    <w:rsid w:val="00911AE3"/>
    <w:rsid w:val="00912550"/>
    <w:rsid w:val="00912967"/>
    <w:rsid w:val="00912B31"/>
    <w:rsid w:val="00912DC2"/>
    <w:rsid w:val="00912EA4"/>
    <w:rsid w:val="009134D1"/>
    <w:rsid w:val="00913955"/>
    <w:rsid w:val="00913A2E"/>
    <w:rsid w:val="0091420D"/>
    <w:rsid w:val="00914381"/>
    <w:rsid w:val="0091618F"/>
    <w:rsid w:val="00916818"/>
    <w:rsid w:val="00920944"/>
    <w:rsid w:val="00920C8D"/>
    <w:rsid w:val="009210D2"/>
    <w:rsid w:val="009218D3"/>
    <w:rsid w:val="0092229A"/>
    <w:rsid w:val="00923100"/>
    <w:rsid w:val="0092387A"/>
    <w:rsid w:val="00923D97"/>
    <w:rsid w:val="00925512"/>
    <w:rsid w:val="0092575D"/>
    <w:rsid w:val="009258E5"/>
    <w:rsid w:val="00925A7B"/>
    <w:rsid w:val="009267F5"/>
    <w:rsid w:val="009276DA"/>
    <w:rsid w:val="009303BB"/>
    <w:rsid w:val="009306C4"/>
    <w:rsid w:val="00931B7C"/>
    <w:rsid w:val="00931BD2"/>
    <w:rsid w:val="00932A3D"/>
    <w:rsid w:val="00932D46"/>
    <w:rsid w:val="00934F9C"/>
    <w:rsid w:val="009354F2"/>
    <w:rsid w:val="009354F9"/>
    <w:rsid w:val="009404B7"/>
    <w:rsid w:val="00940727"/>
    <w:rsid w:val="00941021"/>
    <w:rsid w:val="00941990"/>
    <w:rsid w:val="009424A5"/>
    <w:rsid w:val="00942E24"/>
    <w:rsid w:val="009431BC"/>
    <w:rsid w:val="00943771"/>
    <w:rsid w:val="0094485E"/>
    <w:rsid w:val="00945204"/>
    <w:rsid w:val="009453B1"/>
    <w:rsid w:val="009474C6"/>
    <w:rsid w:val="00950457"/>
    <w:rsid w:val="00950DFE"/>
    <w:rsid w:val="009514FC"/>
    <w:rsid w:val="009525A7"/>
    <w:rsid w:val="009527BC"/>
    <w:rsid w:val="00952F19"/>
    <w:rsid w:val="00953225"/>
    <w:rsid w:val="00954018"/>
    <w:rsid w:val="00955A06"/>
    <w:rsid w:val="0095795C"/>
    <w:rsid w:val="00960991"/>
    <w:rsid w:val="009610FD"/>
    <w:rsid w:val="0096146B"/>
    <w:rsid w:val="009624B3"/>
    <w:rsid w:val="00963771"/>
    <w:rsid w:val="009643FE"/>
    <w:rsid w:val="00964408"/>
    <w:rsid w:val="00964A25"/>
    <w:rsid w:val="00964B97"/>
    <w:rsid w:val="00965010"/>
    <w:rsid w:val="0096692D"/>
    <w:rsid w:val="009671F7"/>
    <w:rsid w:val="0096777E"/>
    <w:rsid w:val="00967D90"/>
    <w:rsid w:val="00970028"/>
    <w:rsid w:val="00970075"/>
    <w:rsid w:val="0097009D"/>
    <w:rsid w:val="00970DDF"/>
    <w:rsid w:val="009713D1"/>
    <w:rsid w:val="00971FAE"/>
    <w:rsid w:val="009724C4"/>
    <w:rsid w:val="00972852"/>
    <w:rsid w:val="00972CED"/>
    <w:rsid w:val="009745C9"/>
    <w:rsid w:val="00975562"/>
    <w:rsid w:val="00975918"/>
    <w:rsid w:val="00975959"/>
    <w:rsid w:val="00975C89"/>
    <w:rsid w:val="00975E36"/>
    <w:rsid w:val="00975E68"/>
    <w:rsid w:val="00976C49"/>
    <w:rsid w:val="009775F4"/>
    <w:rsid w:val="00977D93"/>
    <w:rsid w:val="00980FF9"/>
    <w:rsid w:val="0098129F"/>
    <w:rsid w:val="009824B2"/>
    <w:rsid w:val="009836DB"/>
    <w:rsid w:val="00984F4C"/>
    <w:rsid w:val="009859A1"/>
    <w:rsid w:val="00985F16"/>
    <w:rsid w:val="00986189"/>
    <w:rsid w:val="009865F5"/>
    <w:rsid w:val="00986B36"/>
    <w:rsid w:val="00987998"/>
    <w:rsid w:val="00987DED"/>
    <w:rsid w:val="0099062E"/>
    <w:rsid w:val="00990C41"/>
    <w:rsid w:val="00992BCA"/>
    <w:rsid w:val="00993075"/>
    <w:rsid w:val="0099495A"/>
    <w:rsid w:val="0099498F"/>
    <w:rsid w:val="0099579A"/>
    <w:rsid w:val="0099595A"/>
    <w:rsid w:val="00996D53"/>
    <w:rsid w:val="00997154"/>
    <w:rsid w:val="00997F0A"/>
    <w:rsid w:val="009A11EF"/>
    <w:rsid w:val="009A1CA5"/>
    <w:rsid w:val="009A3181"/>
    <w:rsid w:val="009A3511"/>
    <w:rsid w:val="009A3BDA"/>
    <w:rsid w:val="009A4040"/>
    <w:rsid w:val="009A470D"/>
    <w:rsid w:val="009A5C48"/>
    <w:rsid w:val="009A5D6C"/>
    <w:rsid w:val="009A5ECA"/>
    <w:rsid w:val="009A602E"/>
    <w:rsid w:val="009A6B42"/>
    <w:rsid w:val="009B11F8"/>
    <w:rsid w:val="009B16DE"/>
    <w:rsid w:val="009B30F3"/>
    <w:rsid w:val="009B3871"/>
    <w:rsid w:val="009B402D"/>
    <w:rsid w:val="009B4C6B"/>
    <w:rsid w:val="009B5D05"/>
    <w:rsid w:val="009B613A"/>
    <w:rsid w:val="009B6F8C"/>
    <w:rsid w:val="009B7677"/>
    <w:rsid w:val="009B7861"/>
    <w:rsid w:val="009B7FCF"/>
    <w:rsid w:val="009C0644"/>
    <w:rsid w:val="009C12FC"/>
    <w:rsid w:val="009C2957"/>
    <w:rsid w:val="009C2CEB"/>
    <w:rsid w:val="009C49CD"/>
    <w:rsid w:val="009C787D"/>
    <w:rsid w:val="009C7E7A"/>
    <w:rsid w:val="009D043F"/>
    <w:rsid w:val="009D06F4"/>
    <w:rsid w:val="009D13F9"/>
    <w:rsid w:val="009D23EC"/>
    <w:rsid w:val="009D3901"/>
    <w:rsid w:val="009D5385"/>
    <w:rsid w:val="009D5AD5"/>
    <w:rsid w:val="009D6471"/>
    <w:rsid w:val="009D6626"/>
    <w:rsid w:val="009D671C"/>
    <w:rsid w:val="009D6C56"/>
    <w:rsid w:val="009D7C75"/>
    <w:rsid w:val="009D7D0F"/>
    <w:rsid w:val="009D7F04"/>
    <w:rsid w:val="009E0485"/>
    <w:rsid w:val="009E0F74"/>
    <w:rsid w:val="009E14F6"/>
    <w:rsid w:val="009E1AF5"/>
    <w:rsid w:val="009E3614"/>
    <w:rsid w:val="009E3F9A"/>
    <w:rsid w:val="009E55CC"/>
    <w:rsid w:val="009E7A70"/>
    <w:rsid w:val="009F0F08"/>
    <w:rsid w:val="009F265A"/>
    <w:rsid w:val="009F2B55"/>
    <w:rsid w:val="009F3A05"/>
    <w:rsid w:val="009F5160"/>
    <w:rsid w:val="009F54C2"/>
    <w:rsid w:val="009F5CFE"/>
    <w:rsid w:val="009F6A3B"/>
    <w:rsid w:val="009F79E8"/>
    <w:rsid w:val="00A002E2"/>
    <w:rsid w:val="00A01A98"/>
    <w:rsid w:val="00A01D99"/>
    <w:rsid w:val="00A02716"/>
    <w:rsid w:val="00A03660"/>
    <w:rsid w:val="00A039A0"/>
    <w:rsid w:val="00A0441B"/>
    <w:rsid w:val="00A0454E"/>
    <w:rsid w:val="00A04CAB"/>
    <w:rsid w:val="00A0525A"/>
    <w:rsid w:val="00A05E88"/>
    <w:rsid w:val="00A1051B"/>
    <w:rsid w:val="00A10A67"/>
    <w:rsid w:val="00A10B20"/>
    <w:rsid w:val="00A10C10"/>
    <w:rsid w:val="00A110AF"/>
    <w:rsid w:val="00A12A0F"/>
    <w:rsid w:val="00A1326B"/>
    <w:rsid w:val="00A1376A"/>
    <w:rsid w:val="00A13B3F"/>
    <w:rsid w:val="00A13BBF"/>
    <w:rsid w:val="00A13C8C"/>
    <w:rsid w:val="00A154CB"/>
    <w:rsid w:val="00A15761"/>
    <w:rsid w:val="00A16293"/>
    <w:rsid w:val="00A1677F"/>
    <w:rsid w:val="00A17954"/>
    <w:rsid w:val="00A17D66"/>
    <w:rsid w:val="00A2036E"/>
    <w:rsid w:val="00A2248A"/>
    <w:rsid w:val="00A230AA"/>
    <w:rsid w:val="00A23C7C"/>
    <w:rsid w:val="00A23F14"/>
    <w:rsid w:val="00A24A84"/>
    <w:rsid w:val="00A25B86"/>
    <w:rsid w:val="00A262C5"/>
    <w:rsid w:val="00A26EE9"/>
    <w:rsid w:val="00A27383"/>
    <w:rsid w:val="00A27BA8"/>
    <w:rsid w:val="00A305AB"/>
    <w:rsid w:val="00A31682"/>
    <w:rsid w:val="00A326D4"/>
    <w:rsid w:val="00A3296B"/>
    <w:rsid w:val="00A33107"/>
    <w:rsid w:val="00A3371E"/>
    <w:rsid w:val="00A34204"/>
    <w:rsid w:val="00A345B1"/>
    <w:rsid w:val="00A347A0"/>
    <w:rsid w:val="00A34D5C"/>
    <w:rsid w:val="00A3514F"/>
    <w:rsid w:val="00A35738"/>
    <w:rsid w:val="00A3623F"/>
    <w:rsid w:val="00A36319"/>
    <w:rsid w:val="00A366E3"/>
    <w:rsid w:val="00A36A2F"/>
    <w:rsid w:val="00A36F31"/>
    <w:rsid w:val="00A378DD"/>
    <w:rsid w:val="00A37DEC"/>
    <w:rsid w:val="00A40011"/>
    <w:rsid w:val="00A4128D"/>
    <w:rsid w:val="00A416A5"/>
    <w:rsid w:val="00A41BDF"/>
    <w:rsid w:val="00A41E4C"/>
    <w:rsid w:val="00A421B2"/>
    <w:rsid w:val="00A425AF"/>
    <w:rsid w:val="00A42A38"/>
    <w:rsid w:val="00A42D6B"/>
    <w:rsid w:val="00A432FA"/>
    <w:rsid w:val="00A436AF"/>
    <w:rsid w:val="00A44C82"/>
    <w:rsid w:val="00A456B4"/>
    <w:rsid w:val="00A456CD"/>
    <w:rsid w:val="00A45732"/>
    <w:rsid w:val="00A45E02"/>
    <w:rsid w:val="00A46736"/>
    <w:rsid w:val="00A47106"/>
    <w:rsid w:val="00A50326"/>
    <w:rsid w:val="00A505F2"/>
    <w:rsid w:val="00A507B5"/>
    <w:rsid w:val="00A50F54"/>
    <w:rsid w:val="00A51486"/>
    <w:rsid w:val="00A5157F"/>
    <w:rsid w:val="00A535D6"/>
    <w:rsid w:val="00A53BA6"/>
    <w:rsid w:val="00A54301"/>
    <w:rsid w:val="00A5542C"/>
    <w:rsid w:val="00A558E9"/>
    <w:rsid w:val="00A56E81"/>
    <w:rsid w:val="00A57213"/>
    <w:rsid w:val="00A5785A"/>
    <w:rsid w:val="00A578B3"/>
    <w:rsid w:val="00A5797F"/>
    <w:rsid w:val="00A603A8"/>
    <w:rsid w:val="00A604AC"/>
    <w:rsid w:val="00A60767"/>
    <w:rsid w:val="00A607A6"/>
    <w:rsid w:val="00A62E43"/>
    <w:rsid w:val="00A62FFA"/>
    <w:rsid w:val="00A64CFD"/>
    <w:rsid w:val="00A64E51"/>
    <w:rsid w:val="00A6540C"/>
    <w:rsid w:val="00A65674"/>
    <w:rsid w:val="00A65D2B"/>
    <w:rsid w:val="00A65D71"/>
    <w:rsid w:val="00A668CD"/>
    <w:rsid w:val="00A66B2B"/>
    <w:rsid w:val="00A66F5A"/>
    <w:rsid w:val="00A67845"/>
    <w:rsid w:val="00A70F29"/>
    <w:rsid w:val="00A72310"/>
    <w:rsid w:val="00A72B06"/>
    <w:rsid w:val="00A73815"/>
    <w:rsid w:val="00A73CBE"/>
    <w:rsid w:val="00A74558"/>
    <w:rsid w:val="00A75EDF"/>
    <w:rsid w:val="00A76C0A"/>
    <w:rsid w:val="00A76E39"/>
    <w:rsid w:val="00A7716E"/>
    <w:rsid w:val="00A77739"/>
    <w:rsid w:val="00A77888"/>
    <w:rsid w:val="00A77DE7"/>
    <w:rsid w:val="00A80900"/>
    <w:rsid w:val="00A80F7C"/>
    <w:rsid w:val="00A81042"/>
    <w:rsid w:val="00A810E9"/>
    <w:rsid w:val="00A81455"/>
    <w:rsid w:val="00A82347"/>
    <w:rsid w:val="00A824D1"/>
    <w:rsid w:val="00A8327A"/>
    <w:rsid w:val="00A8332E"/>
    <w:rsid w:val="00A83367"/>
    <w:rsid w:val="00A83E56"/>
    <w:rsid w:val="00A84C39"/>
    <w:rsid w:val="00A855A9"/>
    <w:rsid w:val="00A8588E"/>
    <w:rsid w:val="00A87E51"/>
    <w:rsid w:val="00A905E6"/>
    <w:rsid w:val="00A911CB"/>
    <w:rsid w:val="00A91A47"/>
    <w:rsid w:val="00A91A72"/>
    <w:rsid w:val="00A91B43"/>
    <w:rsid w:val="00A91C99"/>
    <w:rsid w:val="00A92E7E"/>
    <w:rsid w:val="00A934EE"/>
    <w:rsid w:val="00A93F3D"/>
    <w:rsid w:val="00A94367"/>
    <w:rsid w:val="00A96206"/>
    <w:rsid w:val="00AA012A"/>
    <w:rsid w:val="00AA036C"/>
    <w:rsid w:val="00AA03D6"/>
    <w:rsid w:val="00AA0B5A"/>
    <w:rsid w:val="00AA1FFA"/>
    <w:rsid w:val="00AA203D"/>
    <w:rsid w:val="00AA3644"/>
    <w:rsid w:val="00AA3A91"/>
    <w:rsid w:val="00AA41EE"/>
    <w:rsid w:val="00AA474F"/>
    <w:rsid w:val="00AA57AC"/>
    <w:rsid w:val="00AA5BBC"/>
    <w:rsid w:val="00AA629A"/>
    <w:rsid w:val="00AA7380"/>
    <w:rsid w:val="00AA7410"/>
    <w:rsid w:val="00AB19F8"/>
    <w:rsid w:val="00AB1A8D"/>
    <w:rsid w:val="00AB2111"/>
    <w:rsid w:val="00AB2CC5"/>
    <w:rsid w:val="00AB31D4"/>
    <w:rsid w:val="00AB3F29"/>
    <w:rsid w:val="00AB40CD"/>
    <w:rsid w:val="00AB574E"/>
    <w:rsid w:val="00AB5AAB"/>
    <w:rsid w:val="00AB6487"/>
    <w:rsid w:val="00AB6648"/>
    <w:rsid w:val="00AB6C1C"/>
    <w:rsid w:val="00AB749D"/>
    <w:rsid w:val="00AC100B"/>
    <w:rsid w:val="00AC25E4"/>
    <w:rsid w:val="00AC3BF7"/>
    <w:rsid w:val="00AC3EF3"/>
    <w:rsid w:val="00AC40CA"/>
    <w:rsid w:val="00AC4461"/>
    <w:rsid w:val="00AC4856"/>
    <w:rsid w:val="00AC4B68"/>
    <w:rsid w:val="00AC5AD4"/>
    <w:rsid w:val="00AC6249"/>
    <w:rsid w:val="00AC71C7"/>
    <w:rsid w:val="00AC7520"/>
    <w:rsid w:val="00AC7648"/>
    <w:rsid w:val="00AC7C18"/>
    <w:rsid w:val="00AD1675"/>
    <w:rsid w:val="00AD17D0"/>
    <w:rsid w:val="00AD1FE8"/>
    <w:rsid w:val="00AD22EF"/>
    <w:rsid w:val="00AD281D"/>
    <w:rsid w:val="00AD4024"/>
    <w:rsid w:val="00AD4773"/>
    <w:rsid w:val="00AD53A9"/>
    <w:rsid w:val="00AD5C99"/>
    <w:rsid w:val="00AD63F4"/>
    <w:rsid w:val="00AD64BA"/>
    <w:rsid w:val="00AD7C45"/>
    <w:rsid w:val="00AE0271"/>
    <w:rsid w:val="00AE0300"/>
    <w:rsid w:val="00AE0551"/>
    <w:rsid w:val="00AE0F9D"/>
    <w:rsid w:val="00AE2458"/>
    <w:rsid w:val="00AE2788"/>
    <w:rsid w:val="00AE4D4E"/>
    <w:rsid w:val="00AE52AC"/>
    <w:rsid w:val="00AE57A3"/>
    <w:rsid w:val="00AE6FB8"/>
    <w:rsid w:val="00AF1E18"/>
    <w:rsid w:val="00AF4396"/>
    <w:rsid w:val="00AF484D"/>
    <w:rsid w:val="00AF631C"/>
    <w:rsid w:val="00AF6C73"/>
    <w:rsid w:val="00AF7DA5"/>
    <w:rsid w:val="00B02C6C"/>
    <w:rsid w:val="00B0320B"/>
    <w:rsid w:val="00B03350"/>
    <w:rsid w:val="00B03DDA"/>
    <w:rsid w:val="00B062C2"/>
    <w:rsid w:val="00B06392"/>
    <w:rsid w:val="00B1081B"/>
    <w:rsid w:val="00B1170F"/>
    <w:rsid w:val="00B11A2D"/>
    <w:rsid w:val="00B1244A"/>
    <w:rsid w:val="00B12AB8"/>
    <w:rsid w:val="00B135DC"/>
    <w:rsid w:val="00B1486F"/>
    <w:rsid w:val="00B1597D"/>
    <w:rsid w:val="00B15AB0"/>
    <w:rsid w:val="00B15B9D"/>
    <w:rsid w:val="00B16453"/>
    <w:rsid w:val="00B16586"/>
    <w:rsid w:val="00B1662B"/>
    <w:rsid w:val="00B166AC"/>
    <w:rsid w:val="00B16B0F"/>
    <w:rsid w:val="00B1769B"/>
    <w:rsid w:val="00B17730"/>
    <w:rsid w:val="00B17E1C"/>
    <w:rsid w:val="00B20761"/>
    <w:rsid w:val="00B21860"/>
    <w:rsid w:val="00B22A5A"/>
    <w:rsid w:val="00B236A6"/>
    <w:rsid w:val="00B24240"/>
    <w:rsid w:val="00B247E1"/>
    <w:rsid w:val="00B24833"/>
    <w:rsid w:val="00B24CEF"/>
    <w:rsid w:val="00B25024"/>
    <w:rsid w:val="00B253FD"/>
    <w:rsid w:val="00B2634B"/>
    <w:rsid w:val="00B308B7"/>
    <w:rsid w:val="00B309FF"/>
    <w:rsid w:val="00B3231F"/>
    <w:rsid w:val="00B326DB"/>
    <w:rsid w:val="00B327D5"/>
    <w:rsid w:val="00B32908"/>
    <w:rsid w:val="00B32C5F"/>
    <w:rsid w:val="00B33B78"/>
    <w:rsid w:val="00B34E05"/>
    <w:rsid w:val="00B36173"/>
    <w:rsid w:val="00B36709"/>
    <w:rsid w:val="00B36982"/>
    <w:rsid w:val="00B36A81"/>
    <w:rsid w:val="00B379B8"/>
    <w:rsid w:val="00B37B16"/>
    <w:rsid w:val="00B37C7C"/>
    <w:rsid w:val="00B37FB6"/>
    <w:rsid w:val="00B40667"/>
    <w:rsid w:val="00B41258"/>
    <w:rsid w:val="00B416A7"/>
    <w:rsid w:val="00B41E29"/>
    <w:rsid w:val="00B42A98"/>
    <w:rsid w:val="00B437E1"/>
    <w:rsid w:val="00B44B8A"/>
    <w:rsid w:val="00B44DEC"/>
    <w:rsid w:val="00B456F4"/>
    <w:rsid w:val="00B459C4"/>
    <w:rsid w:val="00B45BD2"/>
    <w:rsid w:val="00B4730D"/>
    <w:rsid w:val="00B47628"/>
    <w:rsid w:val="00B47D80"/>
    <w:rsid w:val="00B47E37"/>
    <w:rsid w:val="00B51661"/>
    <w:rsid w:val="00B51DFB"/>
    <w:rsid w:val="00B5234C"/>
    <w:rsid w:val="00B524F5"/>
    <w:rsid w:val="00B52899"/>
    <w:rsid w:val="00B53AD9"/>
    <w:rsid w:val="00B54965"/>
    <w:rsid w:val="00B54D9F"/>
    <w:rsid w:val="00B553DF"/>
    <w:rsid w:val="00B55860"/>
    <w:rsid w:val="00B56428"/>
    <w:rsid w:val="00B575AE"/>
    <w:rsid w:val="00B612CB"/>
    <w:rsid w:val="00B6140D"/>
    <w:rsid w:val="00B6318A"/>
    <w:rsid w:val="00B631E6"/>
    <w:rsid w:val="00B633CB"/>
    <w:rsid w:val="00B6343A"/>
    <w:rsid w:val="00B63BED"/>
    <w:rsid w:val="00B64206"/>
    <w:rsid w:val="00B64700"/>
    <w:rsid w:val="00B64862"/>
    <w:rsid w:val="00B6517A"/>
    <w:rsid w:val="00B6712E"/>
    <w:rsid w:val="00B672C4"/>
    <w:rsid w:val="00B67690"/>
    <w:rsid w:val="00B703DC"/>
    <w:rsid w:val="00B71B39"/>
    <w:rsid w:val="00B71E53"/>
    <w:rsid w:val="00B72383"/>
    <w:rsid w:val="00B73F4F"/>
    <w:rsid w:val="00B7453D"/>
    <w:rsid w:val="00B74864"/>
    <w:rsid w:val="00B74B1A"/>
    <w:rsid w:val="00B768C1"/>
    <w:rsid w:val="00B77CEE"/>
    <w:rsid w:val="00B77DB5"/>
    <w:rsid w:val="00B80490"/>
    <w:rsid w:val="00B804C3"/>
    <w:rsid w:val="00B806D7"/>
    <w:rsid w:val="00B8078A"/>
    <w:rsid w:val="00B80A3B"/>
    <w:rsid w:val="00B80A48"/>
    <w:rsid w:val="00B80E18"/>
    <w:rsid w:val="00B8148C"/>
    <w:rsid w:val="00B81E45"/>
    <w:rsid w:val="00B8287A"/>
    <w:rsid w:val="00B82F44"/>
    <w:rsid w:val="00B83721"/>
    <w:rsid w:val="00B84A73"/>
    <w:rsid w:val="00B855A5"/>
    <w:rsid w:val="00B86FA8"/>
    <w:rsid w:val="00B8743D"/>
    <w:rsid w:val="00B8755E"/>
    <w:rsid w:val="00B90CF0"/>
    <w:rsid w:val="00B91A97"/>
    <w:rsid w:val="00B91D9D"/>
    <w:rsid w:val="00B922A8"/>
    <w:rsid w:val="00B92540"/>
    <w:rsid w:val="00B92E8B"/>
    <w:rsid w:val="00B93C92"/>
    <w:rsid w:val="00B949B8"/>
    <w:rsid w:val="00B94B12"/>
    <w:rsid w:val="00B94BF4"/>
    <w:rsid w:val="00B950D9"/>
    <w:rsid w:val="00B963D5"/>
    <w:rsid w:val="00B96750"/>
    <w:rsid w:val="00B96822"/>
    <w:rsid w:val="00B970E4"/>
    <w:rsid w:val="00BA14BF"/>
    <w:rsid w:val="00BA4258"/>
    <w:rsid w:val="00BA51D9"/>
    <w:rsid w:val="00BA531B"/>
    <w:rsid w:val="00BA757F"/>
    <w:rsid w:val="00BA7792"/>
    <w:rsid w:val="00BA77E2"/>
    <w:rsid w:val="00BB01F2"/>
    <w:rsid w:val="00BB0481"/>
    <w:rsid w:val="00BB0B49"/>
    <w:rsid w:val="00BB0D1C"/>
    <w:rsid w:val="00BB1577"/>
    <w:rsid w:val="00BB2073"/>
    <w:rsid w:val="00BB247F"/>
    <w:rsid w:val="00BB26BD"/>
    <w:rsid w:val="00BB47D4"/>
    <w:rsid w:val="00BB4844"/>
    <w:rsid w:val="00BB552A"/>
    <w:rsid w:val="00BB5612"/>
    <w:rsid w:val="00BB6380"/>
    <w:rsid w:val="00BB7BC2"/>
    <w:rsid w:val="00BC0099"/>
    <w:rsid w:val="00BC10E3"/>
    <w:rsid w:val="00BC1301"/>
    <w:rsid w:val="00BC2324"/>
    <w:rsid w:val="00BC3501"/>
    <w:rsid w:val="00BC3518"/>
    <w:rsid w:val="00BC3590"/>
    <w:rsid w:val="00BC4DB3"/>
    <w:rsid w:val="00BC5BC9"/>
    <w:rsid w:val="00BC761C"/>
    <w:rsid w:val="00BC7773"/>
    <w:rsid w:val="00BD0118"/>
    <w:rsid w:val="00BD1C60"/>
    <w:rsid w:val="00BD3F2A"/>
    <w:rsid w:val="00BD4441"/>
    <w:rsid w:val="00BD4B32"/>
    <w:rsid w:val="00BD5A43"/>
    <w:rsid w:val="00BD68CA"/>
    <w:rsid w:val="00BD771B"/>
    <w:rsid w:val="00BE0CBA"/>
    <w:rsid w:val="00BE0CDF"/>
    <w:rsid w:val="00BE26D1"/>
    <w:rsid w:val="00BE3BAC"/>
    <w:rsid w:val="00BE4AB0"/>
    <w:rsid w:val="00BE5C62"/>
    <w:rsid w:val="00BE644F"/>
    <w:rsid w:val="00BE6BE6"/>
    <w:rsid w:val="00BF0690"/>
    <w:rsid w:val="00BF0A0B"/>
    <w:rsid w:val="00BF0B26"/>
    <w:rsid w:val="00BF162C"/>
    <w:rsid w:val="00BF17C1"/>
    <w:rsid w:val="00BF2CB5"/>
    <w:rsid w:val="00BF322C"/>
    <w:rsid w:val="00BF33D4"/>
    <w:rsid w:val="00BF4C37"/>
    <w:rsid w:val="00BF5410"/>
    <w:rsid w:val="00BF54BB"/>
    <w:rsid w:val="00BF6578"/>
    <w:rsid w:val="00BF6D85"/>
    <w:rsid w:val="00BF7758"/>
    <w:rsid w:val="00C0046D"/>
    <w:rsid w:val="00C006C8"/>
    <w:rsid w:val="00C01791"/>
    <w:rsid w:val="00C02582"/>
    <w:rsid w:val="00C02610"/>
    <w:rsid w:val="00C03920"/>
    <w:rsid w:val="00C0408A"/>
    <w:rsid w:val="00C046F7"/>
    <w:rsid w:val="00C04FF4"/>
    <w:rsid w:val="00C059FA"/>
    <w:rsid w:val="00C05F68"/>
    <w:rsid w:val="00C064AA"/>
    <w:rsid w:val="00C071FD"/>
    <w:rsid w:val="00C077C0"/>
    <w:rsid w:val="00C07BEB"/>
    <w:rsid w:val="00C10AA6"/>
    <w:rsid w:val="00C114CC"/>
    <w:rsid w:val="00C1199D"/>
    <w:rsid w:val="00C12B20"/>
    <w:rsid w:val="00C12F40"/>
    <w:rsid w:val="00C134D4"/>
    <w:rsid w:val="00C14AF8"/>
    <w:rsid w:val="00C14C15"/>
    <w:rsid w:val="00C160D1"/>
    <w:rsid w:val="00C16DE2"/>
    <w:rsid w:val="00C1753B"/>
    <w:rsid w:val="00C17C22"/>
    <w:rsid w:val="00C20967"/>
    <w:rsid w:val="00C209B5"/>
    <w:rsid w:val="00C212C4"/>
    <w:rsid w:val="00C220C9"/>
    <w:rsid w:val="00C22DFD"/>
    <w:rsid w:val="00C23495"/>
    <w:rsid w:val="00C23614"/>
    <w:rsid w:val="00C23938"/>
    <w:rsid w:val="00C23C82"/>
    <w:rsid w:val="00C23CE4"/>
    <w:rsid w:val="00C24582"/>
    <w:rsid w:val="00C2502F"/>
    <w:rsid w:val="00C251AF"/>
    <w:rsid w:val="00C252D4"/>
    <w:rsid w:val="00C259AE"/>
    <w:rsid w:val="00C25DC3"/>
    <w:rsid w:val="00C25DE2"/>
    <w:rsid w:val="00C26095"/>
    <w:rsid w:val="00C275D4"/>
    <w:rsid w:val="00C276A8"/>
    <w:rsid w:val="00C27716"/>
    <w:rsid w:val="00C27879"/>
    <w:rsid w:val="00C3026E"/>
    <w:rsid w:val="00C304A0"/>
    <w:rsid w:val="00C3097C"/>
    <w:rsid w:val="00C331B4"/>
    <w:rsid w:val="00C33531"/>
    <w:rsid w:val="00C355A8"/>
    <w:rsid w:val="00C357ED"/>
    <w:rsid w:val="00C35AB6"/>
    <w:rsid w:val="00C35B22"/>
    <w:rsid w:val="00C35F46"/>
    <w:rsid w:val="00C3646C"/>
    <w:rsid w:val="00C3773D"/>
    <w:rsid w:val="00C3787C"/>
    <w:rsid w:val="00C37BF5"/>
    <w:rsid w:val="00C400AF"/>
    <w:rsid w:val="00C409AA"/>
    <w:rsid w:val="00C414A7"/>
    <w:rsid w:val="00C42A23"/>
    <w:rsid w:val="00C42D0C"/>
    <w:rsid w:val="00C433ED"/>
    <w:rsid w:val="00C43951"/>
    <w:rsid w:val="00C459E8"/>
    <w:rsid w:val="00C463CE"/>
    <w:rsid w:val="00C47722"/>
    <w:rsid w:val="00C47AD2"/>
    <w:rsid w:val="00C502D7"/>
    <w:rsid w:val="00C51385"/>
    <w:rsid w:val="00C51D7B"/>
    <w:rsid w:val="00C51EDB"/>
    <w:rsid w:val="00C51FCC"/>
    <w:rsid w:val="00C52CA8"/>
    <w:rsid w:val="00C53165"/>
    <w:rsid w:val="00C53196"/>
    <w:rsid w:val="00C537C2"/>
    <w:rsid w:val="00C53AC8"/>
    <w:rsid w:val="00C54EBE"/>
    <w:rsid w:val="00C552F9"/>
    <w:rsid w:val="00C56E31"/>
    <w:rsid w:val="00C56E88"/>
    <w:rsid w:val="00C5705E"/>
    <w:rsid w:val="00C5765A"/>
    <w:rsid w:val="00C60336"/>
    <w:rsid w:val="00C6099C"/>
    <w:rsid w:val="00C61AB2"/>
    <w:rsid w:val="00C6221D"/>
    <w:rsid w:val="00C626B1"/>
    <w:rsid w:val="00C632C1"/>
    <w:rsid w:val="00C634DE"/>
    <w:rsid w:val="00C645A0"/>
    <w:rsid w:val="00C6600F"/>
    <w:rsid w:val="00C7011D"/>
    <w:rsid w:val="00C70844"/>
    <w:rsid w:val="00C7114E"/>
    <w:rsid w:val="00C713AF"/>
    <w:rsid w:val="00C716A8"/>
    <w:rsid w:val="00C72950"/>
    <w:rsid w:val="00C742AE"/>
    <w:rsid w:val="00C75420"/>
    <w:rsid w:val="00C757C6"/>
    <w:rsid w:val="00C75B00"/>
    <w:rsid w:val="00C75F2D"/>
    <w:rsid w:val="00C76864"/>
    <w:rsid w:val="00C76B98"/>
    <w:rsid w:val="00C816FC"/>
    <w:rsid w:val="00C820C6"/>
    <w:rsid w:val="00C82469"/>
    <w:rsid w:val="00C82AC0"/>
    <w:rsid w:val="00C82BBA"/>
    <w:rsid w:val="00C8371B"/>
    <w:rsid w:val="00C83D6C"/>
    <w:rsid w:val="00C84251"/>
    <w:rsid w:val="00C84C96"/>
    <w:rsid w:val="00C8514D"/>
    <w:rsid w:val="00C86043"/>
    <w:rsid w:val="00C863EA"/>
    <w:rsid w:val="00C86886"/>
    <w:rsid w:val="00C90EC8"/>
    <w:rsid w:val="00C91F6E"/>
    <w:rsid w:val="00C92632"/>
    <w:rsid w:val="00C92672"/>
    <w:rsid w:val="00C949C9"/>
    <w:rsid w:val="00C9500B"/>
    <w:rsid w:val="00C95202"/>
    <w:rsid w:val="00C95A4C"/>
    <w:rsid w:val="00C95C62"/>
    <w:rsid w:val="00C95E66"/>
    <w:rsid w:val="00C976E2"/>
    <w:rsid w:val="00C97BCD"/>
    <w:rsid w:val="00CA0115"/>
    <w:rsid w:val="00CA015F"/>
    <w:rsid w:val="00CA0221"/>
    <w:rsid w:val="00CA22BC"/>
    <w:rsid w:val="00CA2537"/>
    <w:rsid w:val="00CA2983"/>
    <w:rsid w:val="00CA3589"/>
    <w:rsid w:val="00CA388B"/>
    <w:rsid w:val="00CA498F"/>
    <w:rsid w:val="00CA4B6A"/>
    <w:rsid w:val="00CA52F7"/>
    <w:rsid w:val="00CA5B11"/>
    <w:rsid w:val="00CA655D"/>
    <w:rsid w:val="00CB0BF8"/>
    <w:rsid w:val="00CB0C95"/>
    <w:rsid w:val="00CB134A"/>
    <w:rsid w:val="00CB1C0E"/>
    <w:rsid w:val="00CB2163"/>
    <w:rsid w:val="00CB22EA"/>
    <w:rsid w:val="00CB2A83"/>
    <w:rsid w:val="00CB2E6B"/>
    <w:rsid w:val="00CB3B00"/>
    <w:rsid w:val="00CB3FDF"/>
    <w:rsid w:val="00CB4167"/>
    <w:rsid w:val="00CB44E9"/>
    <w:rsid w:val="00CB4BB2"/>
    <w:rsid w:val="00CB5ACB"/>
    <w:rsid w:val="00CB5FAB"/>
    <w:rsid w:val="00CB6370"/>
    <w:rsid w:val="00CB6B88"/>
    <w:rsid w:val="00CB6C62"/>
    <w:rsid w:val="00CC04EE"/>
    <w:rsid w:val="00CC08F7"/>
    <w:rsid w:val="00CC0D04"/>
    <w:rsid w:val="00CC1E58"/>
    <w:rsid w:val="00CC2661"/>
    <w:rsid w:val="00CC33C7"/>
    <w:rsid w:val="00CC3445"/>
    <w:rsid w:val="00CC36B3"/>
    <w:rsid w:val="00CC44E1"/>
    <w:rsid w:val="00CC5B8E"/>
    <w:rsid w:val="00CC5CEF"/>
    <w:rsid w:val="00CC74D6"/>
    <w:rsid w:val="00CD0143"/>
    <w:rsid w:val="00CD13AF"/>
    <w:rsid w:val="00CD2478"/>
    <w:rsid w:val="00CD2735"/>
    <w:rsid w:val="00CD27BE"/>
    <w:rsid w:val="00CD2A1C"/>
    <w:rsid w:val="00CD2BA7"/>
    <w:rsid w:val="00CD2C3B"/>
    <w:rsid w:val="00CD32D2"/>
    <w:rsid w:val="00CD57A9"/>
    <w:rsid w:val="00CD691A"/>
    <w:rsid w:val="00CD69AA"/>
    <w:rsid w:val="00CD7B22"/>
    <w:rsid w:val="00CE039B"/>
    <w:rsid w:val="00CE1C9A"/>
    <w:rsid w:val="00CE30C4"/>
    <w:rsid w:val="00CE4465"/>
    <w:rsid w:val="00CE4541"/>
    <w:rsid w:val="00CE4CC9"/>
    <w:rsid w:val="00CE510B"/>
    <w:rsid w:val="00CE670F"/>
    <w:rsid w:val="00CE6D88"/>
    <w:rsid w:val="00CE7456"/>
    <w:rsid w:val="00CE7C62"/>
    <w:rsid w:val="00CF0F83"/>
    <w:rsid w:val="00CF53AC"/>
    <w:rsid w:val="00CF5DF8"/>
    <w:rsid w:val="00CF66DB"/>
    <w:rsid w:val="00CF71C3"/>
    <w:rsid w:val="00CF7FC6"/>
    <w:rsid w:val="00D00404"/>
    <w:rsid w:val="00D01508"/>
    <w:rsid w:val="00D01569"/>
    <w:rsid w:val="00D01606"/>
    <w:rsid w:val="00D03CAC"/>
    <w:rsid w:val="00D077FF"/>
    <w:rsid w:val="00D104B2"/>
    <w:rsid w:val="00D11173"/>
    <w:rsid w:val="00D11A5E"/>
    <w:rsid w:val="00D12711"/>
    <w:rsid w:val="00D12D4C"/>
    <w:rsid w:val="00D133E1"/>
    <w:rsid w:val="00D13DEF"/>
    <w:rsid w:val="00D1454A"/>
    <w:rsid w:val="00D14978"/>
    <w:rsid w:val="00D15526"/>
    <w:rsid w:val="00D15B21"/>
    <w:rsid w:val="00D16FC6"/>
    <w:rsid w:val="00D1793A"/>
    <w:rsid w:val="00D17F79"/>
    <w:rsid w:val="00D20E82"/>
    <w:rsid w:val="00D2133F"/>
    <w:rsid w:val="00D22996"/>
    <w:rsid w:val="00D22DF2"/>
    <w:rsid w:val="00D242DB"/>
    <w:rsid w:val="00D24C34"/>
    <w:rsid w:val="00D2510F"/>
    <w:rsid w:val="00D2558D"/>
    <w:rsid w:val="00D26059"/>
    <w:rsid w:val="00D26A70"/>
    <w:rsid w:val="00D27034"/>
    <w:rsid w:val="00D2789A"/>
    <w:rsid w:val="00D27A86"/>
    <w:rsid w:val="00D27C3D"/>
    <w:rsid w:val="00D27ECB"/>
    <w:rsid w:val="00D302EB"/>
    <w:rsid w:val="00D3037F"/>
    <w:rsid w:val="00D309AD"/>
    <w:rsid w:val="00D30C1A"/>
    <w:rsid w:val="00D31658"/>
    <w:rsid w:val="00D3227A"/>
    <w:rsid w:val="00D322D2"/>
    <w:rsid w:val="00D32A13"/>
    <w:rsid w:val="00D32C19"/>
    <w:rsid w:val="00D34076"/>
    <w:rsid w:val="00D341A0"/>
    <w:rsid w:val="00D3483E"/>
    <w:rsid w:val="00D34FC9"/>
    <w:rsid w:val="00D35149"/>
    <w:rsid w:val="00D352B7"/>
    <w:rsid w:val="00D35EA9"/>
    <w:rsid w:val="00D3735D"/>
    <w:rsid w:val="00D40702"/>
    <w:rsid w:val="00D40827"/>
    <w:rsid w:val="00D428C5"/>
    <w:rsid w:val="00D42B07"/>
    <w:rsid w:val="00D437BA"/>
    <w:rsid w:val="00D43C01"/>
    <w:rsid w:val="00D45405"/>
    <w:rsid w:val="00D45A6A"/>
    <w:rsid w:val="00D46D7A"/>
    <w:rsid w:val="00D47221"/>
    <w:rsid w:val="00D4722B"/>
    <w:rsid w:val="00D50788"/>
    <w:rsid w:val="00D50ADF"/>
    <w:rsid w:val="00D51071"/>
    <w:rsid w:val="00D51397"/>
    <w:rsid w:val="00D51931"/>
    <w:rsid w:val="00D51BF8"/>
    <w:rsid w:val="00D526CC"/>
    <w:rsid w:val="00D527A8"/>
    <w:rsid w:val="00D52E10"/>
    <w:rsid w:val="00D53407"/>
    <w:rsid w:val="00D53CF4"/>
    <w:rsid w:val="00D54458"/>
    <w:rsid w:val="00D562BF"/>
    <w:rsid w:val="00D57EA8"/>
    <w:rsid w:val="00D60FFC"/>
    <w:rsid w:val="00D6574D"/>
    <w:rsid w:val="00D65B88"/>
    <w:rsid w:val="00D65B9D"/>
    <w:rsid w:val="00D6680C"/>
    <w:rsid w:val="00D66853"/>
    <w:rsid w:val="00D713DD"/>
    <w:rsid w:val="00D71A1B"/>
    <w:rsid w:val="00D71BE6"/>
    <w:rsid w:val="00D72AC5"/>
    <w:rsid w:val="00D73FF4"/>
    <w:rsid w:val="00D747F1"/>
    <w:rsid w:val="00D74EAF"/>
    <w:rsid w:val="00D7649A"/>
    <w:rsid w:val="00D76D59"/>
    <w:rsid w:val="00D773EF"/>
    <w:rsid w:val="00D77AD0"/>
    <w:rsid w:val="00D77C4F"/>
    <w:rsid w:val="00D80B26"/>
    <w:rsid w:val="00D81888"/>
    <w:rsid w:val="00D81CAE"/>
    <w:rsid w:val="00D81F18"/>
    <w:rsid w:val="00D82CD2"/>
    <w:rsid w:val="00D83321"/>
    <w:rsid w:val="00D834C7"/>
    <w:rsid w:val="00D8397E"/>
    <w:rsid w:val="00D84E52"/>
    <w:rsid w:val="00D85037"/>
    <w:rsid w:val="00D855F6"/>
    <w:rsid w:val="00D8614A"/>
    <w:rsid w:val="00D86B99"/>
    <w:rsid w:val="00D87996"/>
    <w:rsid w:val="00D900F2"/>
    <w:rsid w:val="00D90617"/>
    <w:rsid w:val="00D91960"/>
    <w:rsid w:val="00D91A5A"/>
    <w:rsid w:val="00D9234C"/>
    <w:rsid w:val="00D926C4"/>
    <w:rsid w:val="00D94324"/>
    <w:rsid w:val="00D95BE8"/>
    <w:rsid w:val="00D96109"/>
    <w:rsid w:val="00D96185"/>
    <w:rsid w:val="00D96495"/>
    <w:rsid w:val="00D97441"/>
    <w:rsid w:val="00DA00C7"/>
    <w:rsid w:val="00DA0856"/>
    <w:rsid w:val="00DA1667"/>
    <w:rsid w:val="00DA19CA"/>
    <w:rsid w:val="00DA1DA3"/>
    <w:rsid w:val="00DA3161"/>
    <w:rsid w:val="00DA3C12"/>
    <w:rsid w:val="00DA3CA6"/>
    <w:rsid w:val="00DA53E7"/>
    <w:rsid w:val="00DA5EEA"/>
    <w:rsid w:val="00DA612B"/>
    <w:rsid w:val="00DA6E21"/>
    <w:rsid w:val="00DB04B0"/>
    <w:rsid w:val="00DB35EB"/>
    <w:rsid w:val="00DB363D"/>
    <w:rsid w:val="00DB38A6"/>
    <w:rsid w:val="00DB3C91"/>
    <w:rsid w:val="00DB6F23"/>
    <w:rsid w:val="00DB7A5F"/>
    <w:rsid w:val="00DB7EEE"/>
    <w:rsid w:val="00DC0DE1"/>
    <w:rsid w:val="00DC1036"/>
    <w:rsid w:val="00DC1327"/>
    <w:rsid w:val="00DC18A8"/>
    <w:rsid w:val="00DC23AC"/>
    <w:rsid w:val="00DC39EE"/>
    <w:rsid w:val="00DC529C"/>
    <w:rsid w:val="00DC7518"/>
    <w:rsid w:val="00DC7967"/>
    <w:rsid w:val="00DD077D"/>
    <w:rsid w:val="00DD1867"/>
    <w:rsid w:val="00DD18A4"/>
    <w:rsid w:val="00DD1E75"/>
    <w:rsid w:val="00DD20B7"/>
    <w:rsid w:val="00DD3664"/>
    <w:rsid w:val="00DD3F55"/>
    <w:rsid w:val="00DD51A0"/>
    <w:rsid w:val="00DD5AF7"/>
    <w:rsid w:val="00DD5F53"/>
    <w:rsid w:val="00DD6651"/>
    <w:rsid w:val="00DD6F60"/>
    <w:rsid w:val="00DD72F6"/>
    <w:rsid w:val="00DD7874"/>
    <w:rsid w:val="00DD791A"/>
    <w:rsid w:val="00DD7ED5"/>
    <w:rsid w:val="00DE03A9"/>
    <w:rsid w:val="00DE1E47"/>
    <w:rsid w:val="00DE2758"/>
    <w:rsid w:val="00DE31EE"/>
    <w:rsid w:val="00DE350A"/>
    <w:rsid w:val="00DE36A4"/>
    <w:rsid w:val="00DE38A2"/>
    <w:rsid w:val="00DE3F48"/>
    <w:rsid w:val="00DE3F65"/>
    <w:rsid w:val="00DE414A"/>
    <w:rsid w:val="00DE53D9"/>
    <w:rsid w:val="00DE561F"/>
    <w:rsid w:val="00DE58D1"/>
    <w:rsid w:val="00DE6997"/>
    <w:rsid w:val="00DE6E03"/>
    <w:rsid w:val="00DE72DF"/>
    <w:rsid w:val="00DE79EA"/>
    <w:rsid w:val="00DF1661"/>
    <w:rsid w:val="00DF1741"/>
    <w:rsid w:val="00DF1B15"/>
    <w:rsid w:val="00DF2470"/>
    <w:rsid w:val="00DF2578"/>
    <w:rsid w:val="00DF28B7"/>
    <w:rsid w:val="00DF28BD"/>
    <w:rsid w:val="00DF2A10"/>
    <w:rsid w:val="00DF339B"/>
    <w:rsid w:val="00DF73AB"/>
    <w:rsid w:val="00E01C67"/>
    <w:rsid w:val="00E042E7"/>
    <w:rsid w:val="00E04642"/>
    <w:rsid w:val="00E04BEF"/>
    <w:rsid w:val="00E054F1"/>
    <w:rsid w:val="00E05616"/>
    <w:rsid w:val="00E05926"/>
    <w:rsid w:val="00E05A22"/>
    <w:rsid w:val="00E05B85"/>
    <w:rsid w:val="00E069DB"/>
    <w:rsid w:val="00E06B0C"/>
    <w:rsid w:val="00E06DD1"/>
    <w:rsid w:val="00E07AA9"/>
    <w:rsid w:val="00E10579"/>
    <w:rsid w:val="00E10582"/>
    <w:rsid w:val="00E11602"/>
    <w:rsid w:val="00E11957"/>
    <w:rsid w:val="00E12EBB"/>
    <w:rsid w:val="00E14096"/>
    <w:rsid w:val="00E1610F"/>
    <w:rsid w:val="00E16C1A"/>
    <w:rsid w:val="00E16ED3"/>
    <w:rsid w:val="00E173CF"/>
    <w:rsid w:val="00E17C97"/>
    <w:rsid w:val="00E208A0"/>
    <w:rsid w:val="00E20D7B"/>
    <w:rsid w:val="00E21A1E"/>
    <w:rsid w:val="00E22390"/>
    <w:rsid w:val="00E227B8"/>
    <w:rsid w:val="00E22B13"/>
    <w:rsid w:val="00E232CB"/>
    <w:rsid w:val="00E23869"/>
    <w:rsid w:val="00E241BA"/>
    <w:rsid w:val="00E24652"/>
    <w:rsid w:val="00E24CF8"/>
    <w:rsid w:val="00E24DDC"/>
    <w:rsid w:val="00E25339"/>
    <w:rsid w:val="00E257B3"/>
    <w:rsid w:val="00E25C55"/>
    <w:rsid w:val="00E260A4"/>
    <w:rsid w:val="00E26264"/>
    <w:rsid w:val="00E26769"/>
    <w:rsid w:val="00E26E44"/>
    <w:rsid w:val="00E271A6"/>
    <w:rsid w:val="00E27354"/>
    <w:rsid w:val="00E2745C"/>
    <w:rsid w:val="00E32585"/>
    <w:rsid w:val="00E329B6"/>
    <w:rsid w:val="00E32B02"/>
    <w:rsid w:val="00E33396"/>
    <w:rsid w:val="00E33840"/>
    <w:rsid w:val="00E33DA4"/>
    <w:rsid w:val="00E340A0"/>
    <w:rsid w:val="00E34408"/>
    <w:rsid w:val="00E34783"/>
    <w:rsid w:val="00E34B21"/>
    <w:rsid w:val="00E35151"/>
    <w:rsid w:val="00E35CAE"/>
    <w:rsid w:val="00E35DFC"/>
    <w:rsid w:val="00E363F9"/>
    <w:rsid w:val="00E36B17"/>
    <w:rsid w:val="00E37254"/>
    <w:rsid w:val="00E377ED"/>
    <w:rsid w:val="00E37B43"/>
    <w:rsid w:val="00E4001F"/>
    <w:rsid w:val="00E4197D"/>
    <w:rsid w:val="00E41B25"/>
    <w:rsid w:val="00E42AE7"/>
    <w:rsid w:val="00E434B1"/>
    <w:rsid w:val="00E43E82"/>
    <w:rsid w:val="00E44B98"/>
    <w:rsid w:val="00E454B4"/>
    <w:rsid w:val="00E455D1"/>
    <w:rsid w:val="00E47E0C"/>
    <w:rsid w:val="00E47FEE"/>
    <w:rsid w:val="00E502E6"/>
    <w:rsid w:val="00E50E5B"/>
    <w:rsid w:val="00E52402"/>
    <w:rsid w:val="00E527D6"/>
    <w:rsid w:val="00E537D3"/>
    <w:rsid w:val="00E53E76"/>
    <w:rsid w:val="00E54951"/>
    <w:rsid w:val="00E54CB1"/>
    <w:rsid w:val="00E54CFF"/>
    <w:rsid w:val="00E56838"/>
    <w:rsid w:val="00E60430"/>
    <w:rsid w:val="00E6100C"/>
    <w:rsid w:val="00E618C2"/>
    <w:rsid w:val="00E61A56"/>
    <w:rsid w:val="00E632DA"/>
    <w:rsid w:val="00E632F5"/>
    <w:rsid w:val="00E64523"/>
    <w:rsid w:val="00E648C2"/>
    <w:rsid w:val="00E665D1"/>
    <w:rsid w:val="00E6723C"/>
    <w:rsid w:val="00E70911"/>
    <w:rsid w:val="00E71344"/>
    <w:rsid w:val="00E71C95"/>
    <w:rsid w:val="00E72462"/>
    <w:rsid w:val="00E738AD"/>
    <w:rsid w:val="00E73923"/>
    <w:rsid w:val="00E74891"/>
    <w:rsid w:val="00E74F3E"/>
    <w:rsid w:val="00E756AD"/>
    <w:rsid w:val="00E75E2B"/>
    <w:rsid w:val="00E76D18"/>
    <w:rsid w:val="00E77129"/>
    <w:rsid w:val="00E772E1"/>
    <w:rsid w:val="00E77512"/>
    <w:rsid w:val="00E81820"/>
    <w:rsid w:val="00E82048"/>
    <w:rsid w:val="00E8276D"/>
    <w:rsid w:val="00E828C6"/>
    <w:rsid w:val="00E83821"/>
    <w:rsid w:val="00E84822"/>
    <w:rsid w:val="00E854D6"/>
    <w:rsid w:val="00E863CD"/>
    <w:rsid w:val="00E86D45"/>
    <w:rsid w:val="00E87AA5"/>
    <w:rsid w:val="00E9063D"/>
    <w:rsid w:val="00E91A14"/>
    <w:rsid w:val="00E91CD6"/>
    <w:rsid w:val="00E91D27"/>
    <w:rsid w:val="00E931E7"/>
    <w:rsid w:val="00E93614"/>
    <w:rsid w:val="00E93B2E"/>
    <w:rsid w:val="00E93EC8"/>
    <w:rsid w:val="00E942FB"/>
    <w:rsid w:val="00E95BD2"/>
    <w:rsid w:val="00EA16EB"/>
    <w:rsid w:val="00EA19D0"/>
    <w:rsid w:val="00EA1BD7"/>
    <w:rsid w:val="00EA2EA8"/>
    <w:rsid w:val="00EA32C1"/>
    <w:rsid w:val="00EA3689"/>
    <w:rsid w:val="00EA3A22"/>
    <w:rsid w:val="00EA3FDF"/>
    <w:rsid w:val="00EA62FD"/>
    <w:rsid w:val="00EB0F66"/>
    <w:rsid w:val="00EB102B"/>
    <w:rsid w:val="00EB12DE"/>
    <w:rsid w:val="00EB14B5"/>
    <w:rsid w:val="00EB21A4"/>
    <w:rsid w:val="00EB2996"/>
    <w:rsid w:val="00EB33EF"/>
    <w:rsid w:val="00EB3BB3"/>
    <w:rsid w:val="00EB4C27"/>
    <w:rsid w:val="00EB4D77"/>
    <w:rsid w:val="00EB550A"/>
    <w:rsid w:val="00EB62A6"/>
    <w:rsid w:val="00EB62F9"/>
    <w:rsid w:val="00EB6591"/>
    <w:rsid w:val="00EB6955"/>
    <w:rsid w:val="00EB6B8E"/>
    <w:rsid w:val="00EB73DB"/>
    <w:rsid w:val="00EB76CA"/>
    <w:rsid w:val="00EB79EE"/>
    <w:rsid w:val="00EC15B4"/>
    <w:rsid w:val="00EC3617"/>
    <w:rsid w:val="00EC3FF8"/>
    <w:rsid w:val="00EC485E"/>
    <w:rsid w:val="00EC48A8"/>
    <w:rsid w:val="00EC5B58"/>
    <w:rsid w:val="00EC6B54"/>
    <w:rsid w:val="00EC7015"/>
    <w:rsid w:val="00ED0956"/>
    <w:rsid w:val="00ED209B"/>
    <w:rsid w:val="00ED2FBE"/>
    <w:rsid w:val="00ED3A1C"/>
    <w:rsid w:val="00ED3A6D"/>
    <w:rsid w:val="00ED4FDE"/>
    <w:rsid w:val="00ED51F5"/>
    <w:rsid w:val="00ED6F48"/>
    <w:rsid w:val="00ED7204"/>
    <w:rsid w:val="00ED7840"/>
    <w:rsid w:val="00ED7A3C"/>
    <w:rsid w:val="00ED7AD0"/>
    <w:rsid w:val="00ED7E5E"/>
    <w:rsid w:val="00ED7EF7"/>
    <w:rsid w:val="00EE00EB"/>
    <w:rsid w:val="00EE06E0"/>
    <w:rsid w:val="00EE07CF"/>
    <w:rsid w:val="00EE1492"/>
    <w:rsid w:val="00EE244A"/>
    <w:rsid w:val="00EE26F3"/>
    <w:rsid w:val="00EE39FE"/>
    <w:rsid w:val="00EE4142"/>
    <w:rsid w:val="00EE48BF"/>
    <w:rsid w:val="00EE4B34"/>
    <w:rsid w:val="00EE4D16"/>
    <w:rsid w:val="00EE4E9A"/>
    <w:rsid w:val="00EE5A52"/>
    <w:rsid w:val="00EE769B"/>
    <w:rsid w:val="00EE7745"/>
    <w:rsid w:val="00EF0839"/>
    <w:rsid w:val="00EF1378"/>
    <w:rsid w:val="00EF2333"/>
    <w:rsid w:val="00EF3D17"/>
    <w:rsid w:val="00EF5C3C"/>
    <w:rsid w:val="00EF6EE7"/>
    <w:rsid w:val="00EF7304"/>
    <w:rsid w:val="00EF74F7"/>
    <w:rsid w:val="00EF7C5B"/>
    <w:rsid w:val="00F001F6"/>
    <w:rsid w:val="00F017E7"/>
    <w:rsid w:val="00F02F54"/>
    <w:rsid w:val="00F0333C"/>
    <w:rsid w:val="00F03864"/>
    <w:rsid w:val="00F03865"/>
    <w:rsid w:val="00F04BB8"/>
    <w:rsid w:val="00F05648"/>
    <w:rsid w:val="00F0687E"/>
    <w:rsid w:val="00F07530"/>
    <w:rsid w:val="00F07C99"/>
    <w:rsid w:val="00F07D3B"/>
    <w:rsid w:val="00F10516"/>
    <w:rsid w:val="00F10732"/>
    <w:rsid w:val="00F10DE3"/>
    <w:rsid w:val="00F11226"/>
    <w:rsid w:val="00F112CC"/>
    <w:rsid w:val="00F11E6B"/>
    <w:rsid w:val="00F1329C"/>
    <w:rsid w:val="00F13A44"/>
    <w:rsid w:val="00F14505"/>
    <w:rsid w:val="00F1578C"/>
    <w:rsid w:val="00F15851"/>
    <w:rsid w:val="00F16AE3"/>
    <w:rsid w:val="00F16BFC"/>
    <w:rsid w:val="00F1768E"/>
    <w:rsid w:val="00F20D3C"/>
    <w:rsid w:val="00F2137A"/>
    <w:rsid w:val="00F21A6D"/>
    <w:rsid w:val="00F21A98"/>
    <w:rsid w:val="00F22B21"/>
    <w:rsid w:val="00F23475"/>
    <w:rsid w:val="00F23A60"/>
    <w:rsid w:val="00F23B8A"/>
    <w:rsid w:val="00F24300"/>
    <w:rsid w:val="00F250CD"/>
    <w:rsid w:val="00F252B7"/>
    <w:rsid w:val="00F255A6"/>
    <w:rsid w:val="00F25809"/>
    <w:rsid w:val="00F25D79"/>
    <w:rsid w:val="00F261E1"/>
    <w:rsid w:val="00F267ED"/>
    <w:rsid w:val="00F26E69"/>
    <w:rsid w:val="00F2727C"/>
    <w:rsid w:val="00F27281"/>
    <w:rsid w:val="00F279BA"/>
    <w:rsid w:val="00F30299"/>
    <w:rsid w:val="00F305A1"/>
    <w:rsid w:val="00F30AD8"/>
    <w:rsid w:val="00F30E8A"/>
    <w:rsid w:val="00F30F45"/>
    <w:rsid w:val="00F30F69"/>
    <w:rsid w:val="00F31B11"/>
    <w:rsid w:val="00F325B9"/>
    <w:rsid w:val="00F3447A"/>
    <w:rsid w:val="00F3550E"/>
    <w:rsid w:val="00F358D1"/>
    <w:rsid w:val="00F35EDF"/>
    <w:rsid w:val="00F36694"/>
    <w:rsid w:val="00F3674C"/>
    <w:rsid w:val="00F36B8C"/>
    <w:rsid w:val="00F409AE"/>
    <w:rsid w:val="00F40EAE"/>
    <w:rsid w:val="00F417DE"/>
    <w:rsid w:val="00F418EC"/>
    <w:rsid w:val="00F422CD"/>
    <w:rsid w:val="00F42E4B"/>
    <w:rsid w:val="00F43957"/>
    <w:rsid w:val="00F43D54"/>
    <w:rsid w:val="00F454E2"/>
    <w:rsid w:val="00F45BB6"/>
    <w:rsid w:val="00F46EBF"/>
    <w:rsid w:val="00F471E6"/>
    <w:rsid w:val="00F474E7"/>
    <w:rsid w:val="00F4792D"/>
    <w:rsid w:val="00F51276"/>
    <w:rsid w:val="00F51A7E"/>
    <w:rsid w:val="00F521CC"/>
    <w:rsid w:val="00F5249B"/>
    <w:rsid w:val="00F53F98"/>
    <w:rsid w:val="00F540BB"/>
    <w:rsid w:val="00F54B1B"/>
    <w:rsid w:val="00F54C03"/>
    <w:rsid w:val="00F55003"/>
    <w:rsid w:val="00F552B0"/>
    <w:rsid w:val="00F553A1"/>
    <w:rsid w:val="00F56140"/>
    <w:rsid w:val="00F608C0"/>
    <w:rsid w:val="00F6202A"/>
    <w:rsid w:val="00F6252F"/>
    <w:rsid w:val="00F62FF4"/>
    <w:rsid w:val="00F63C47"/>
    <w:rsid w:val="00F6628A"/>
    <w:rsid w:val="00F66E61"/>
    <w:rsid w:val="00F6780C"/>
    <w:rsid w:val="00F67AA0"/>
    <w:rsid w:val="00F67C70"/>
    <w:rsid w:val="00F70169"/>
    <w:rsid w:val="00F70F6E"/>
    <w:rsid w:val="00F71A9B"/>
    <w:rsid w:val="00F71C54"/>
    <w:rsid w:val="00F72144"/>
    <w:rsid w:val="00F72FB2"/>
    <w:rsid w:val="00F7418B"/>
    <w:rsid w:val="00F74D85"/>
    <w:rsid w:val="00F74F69"/>
    <w:rsid w:val="00F751F4"/>
    <w:rsid w:val="00F753E7"/>
    <w:rsid w:val="00F75621"/>
    <w:rsid w:val="00F76036"/>
    <w:rsid w:val="00F767F8"/>
    <w:rsid w:val="00F76FE2"/>
    <w:rsid w:val="00F80C40"/>
    <w:rsid w:val="00F8264C"/>
    <w:rsid w:val="00F8324E"/>
    <w:rsid w:val="00F83A97"/>
    <w:rsid w:val="00F84AA5"/>
    <w:rsid w:val="00F8514A"/>
    <w:rsid w:val="00F852C4"/>
    <w:rsid w:val="00F85CF7"/>
    <w:rsid w:val="00F85D2D"/>
    <w:rsid w:val="00F862DC"/>
    <w:rsid w:val="00F86DE1"/>
    <w:rsid w:val="00F8707F"/>
    <w:rsid w:val="00F87CDC"/>
    <w:rsid w:val="00F91B40"/>
    <w:rsid w:val="00F91C2C"/>
    <w:rsid w:val="00F91D2E"/>
    <w:rsid w:val="00F92433"/>
    <w:rsid w:val="00F92639"/>
    <w:rsid w:val="00F9532D"/>
    <w:rsid w:val="00F95B1C"/>
    <w:rsid w:val="00F96490"/>
    <w:rsid w:val="00F964F9"/>
    <w:rsid w:val="00F967A0"/>
    <w:rsid w:val="00F96D08"/>
    <w:rsid w:val="00FA024F"/>
    <w:rsid w:val="00FA1B47"/>
    <w:rsid w:val="00FA2549"/>
    <w:rsid w:val="00FA461E"/>
    <w:rsid w:val="00FA47EA"/>
    <w:rsid w:val="00FA485C"/>
    <w:rsid w:val="00FA4CC9"/>
    <w:rsid w:val="00FA4D60"/>
    <w:rsid w:val="00FA4F87"/>
    <w:rsid w:val="00FA5FD1"/>
    <w:rsid w:val="00FB0635"/>
    <w:rsid w:val="00FB1061"/>
    <w:rsid w:val="00FB22A6"/>
    <w:rsid w:val="00FB2667"/>
    <w:rsid w:val="00FB2866"/>
    <w:rsid w:val="00FB30DE"/>
    <w:rsid w:val="00FB389E"/>
    <w:rsid w:val="00FB3F2A"/>
    <w:rsid w:val="00FB4102"/>
    <w:rsid w:val="00FB4438"/>
    <w:rsid w:val="00FB4E5C"/>
    <w:rsid w:val="00FB4FEC"/>
    <w:rsid w:val="00FB5DBF"/>
    <w:rsid w:val="00FB6598"/>
    <w:rsid w:val="00FB6F30"/>
    <w:rsid w:val="00FB7139"/>
    <w:rsid w:val="00FB7242"/>
    <w:rsid w:val="00FB7262"/>
    <w:rsid w:val="00FB78F8"/>
    <w:rsid w:val="00FB7FE3"/>
    <w:rsid w:val="00FC1742"/>
    <w:rsid w:val="00FC18F4"/>
    <w:rsid w:val="00FC1EAC"/>
    <w:rsid w:val="00FC2052"/>
    <w:rsid w:val="00FC27F7"/>
    <w:rsid w:val="00FC2E52"/>
    <w:rsid w:val="00FC2F2F"/>
    <w:rsid w:val="00FC3398"/>
    <w:rsid w:val="00FC3C1D"/>
    <w:rsid w:val="00FC3C2C"/>
    <w:rsid w:val="00FC4A41"/>
    <w:rsid w:val="00FC4AE2"/>
    <w:rsid w:val="00FC595E"/>
    <w:rsid w:val="00FC5F42"/>
    <w:rsid w:val="00FC64CC"/>
    <w:rsid w:val="00FC7D10"/>
    <w:rsid w:val="00FD1729"/>
    <w:rsid w:val="00FD2884"/>
    <w:rsid w:val="00FD3229"/>
    <w:rsid w:val="00FD3E52"/>
    <w:rsid w:val="00FD4929"/>
    <w:rsid w:val="00FD56EC"/>
    <w:rsid w:val="00FD715A"/>
    <w:rsid w:val="00FD7EE7"/>
    <w:rsid w:val="00FE1AB3"/>
    <w:rsid w:val="00FE1BF3"/>
    <w:rsid w:val="00FE24A1"/>
    <w:rsid w:val="00FE2B49"/>
    <w:rsid w:val="00FE3412"/>
    <w:rsid w:val="00FE422B"/>
    <w:rsid w:val="00FE4DA6"/>
    <w:rsid w:val="00FE4DE1"/>
    <w:rsid w:val="00FE4E95"/>
    <w:rsid w:val="00FE5B26"/>
    <w:rsid w:val="00FE6116"/>
    <w:rsid w:val="00FE7F9E"/>
    <w:rsid w:val="00FF044F"/>
    <w:rsid w:val="00FF0FFD"/>
    <w:rsid w:val="00FF1346"/>
    <w:rsid w:val="00FF16F1"/>
    <w:rsid w:val="00FF3F72"/>
    <w:rsid w:val="00FF48F6"/>
    <w:rsid w:val="00FF490D"/>
    <w:rsid w:val="00FF4EB6"/>
    <w:rsid w:val="00FF5771"/>
    <w:rsid w:val="00FF687E"/>
    <w:rsid w:val="00FF6CDA"/>
    <w:rsid w:val="00FF729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CE408"/>
  <w15:chartTrackingRefBased/>
  <w15:docId w15:val="{9845C83D-F68F-4EC8-952D-E60341BD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97"/>
  </w:style>
  <w:style w:type="paragraph" w:styleId="Heading1">
    <w:name w:val="heading 1"/>
    <w:basedOn w:val="Normal"/>
    <w:next w:val="Normal"/>
    <w:link w:val="Heading1Char"/>
    <w:uiPriority w:val="9"/>
    <w:qFormat/>
    <w:rsid w:val="00506686"/>
    <w:pPr>
      <w:keepNext/>
      <w:keepLines/>
      <w:spacing w:before="240" w:after="0"/>
      <w:outlineLvl w:val="0"/>
    </w:pPr>
    <w:rPr>
      <w:rFonts w:ascii="Times New Roman" w:eastAsiaTheme="majorEastAsia" w:hAnsi="Times New Roman" w:cstheme="majorBidi"/>
      <w:b/>
      <w:color w:val="A40000"/>
      <w:sz w:val="28"/>
      <w:szCs w:val="32"/>
    </w:rPr>
  </w:style>
  <w:style w:type="paragraph" w:styleId="Heading2">
    <w:name w:val="heading 2"/>
    <w:basedOn w:val="Normal"/>
    <w:next w:val="Normal"/>
    <w:link w:val="Heading2Char"/>
    <w:uiPriority w:val="9"/>
    <w:unhideWhenUsed/>
    <w:qFormat/>
    <w:rsid w:val="00506686"/>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nhideWhenUsed/>
    <w:qFormat/>
    <w:rsid w:val="00470B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943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463C40"/>
    <w:pPr>
      <w:ind w:left="720"/>
      <w:contextualSpacing/>
    </w:pPr>
  </w:style>
  <w:style w:type="paragraph" w:styleId="FootnoteText">
    <w:name w:val="footnote text"/>
    <w:aliases w:val="Footnote Text Char Char Char,Footnote Text Char Char,Fußnote,Testo nota a piè di pagina Carattere,Geneva 9,Font: Geneva 9,Boston 10,f,single space,FOOTNOTES,fn,ADB,pod carou,Char Char,Footnote Text1 Char Char,Char,Char Cha,C,Footnote text"/>
    <w:basedOn w:val="Normal"/>
    <w:link w:val="FootnoteTextChar"/>
    <w:uiPriority w:val="99"/>
    <w:unhideWhenUsed/>
    <w:rsid w:val="00F6252F"/>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uiPriority w:val="99"/>
    <w:rsid w:val="00F6252F"/>
    <w:rPr>
      <w:rFonts w:ascii="Calibri" w:eastAsia="Calibri" w:hAnsi="Calibri" w:cs="Times New Roman"/>
      <w:sz w:val="20"/>
      <w:szCs w:val="20"/>
    </w:rPr>
  </w:style>
  <w:style w:type="character" w:styleId="FootnoteReference">
    <w:name w:val="footnote reference"/>
    <w:aliases w:val="BVI fnr,16 Point,Superscript 6 Point,ftref,fr,Footnote symbol,Footnote Reference Arial,nota pié di pagina,Footnote reference number,Times 10 Point,Exposant 3 Point,EN Footnote Reference,note TESI,Footnote Reference Char Char Char"/>
    <w:basedOn w:val="DefaultParagraphFont"/>
    <w:uiPriority w:val="99"/>
    <w:unhideWhenUsed/>
    <w:rsid w:val="00F6252F"/>
    <w:rPr>
      <w:vertAlign w:val="superscript"/>
    </w:rPr>
  </w:style>
  <w:style w:type="character" w:styleId="CommentReference">
    <w:name w:val="annotation reference"/>
    <w:basedOn w:val="DefaultParagraphFont"/>
    <w:uiPriority w:val="99"/>
    <w:semiHidden/>
    <w:unhideWhenUsed/>
    <w:rsid w:val="00F6252F"/>
    <w:rPr>
      <w:sz w:val="16"/>
      <w:szCs w:val="16"/>
    </w:rPr>
  </w:style>
  <w:style w:type="paragraph" w:styleId="CommentText">
    <w:name w:val="annotation text"/>
    <w:basedOn w:val="Normal"/>
    <w:link w:val="CommentTextChar"/>
    <w:uiPriority w:val="99"/>
    <w:semiHidden/>
    <w:unhideWhenUsed/>
    <w:rsid w:val="00F6252F"/>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6252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62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52F"/>
    <w:rPr>
      <w:rFonts w:ascii="Segoe UI" w:hAnsi="Segoe UI" w:cs="Segoe UI"/>
      <w:sz w:val="18"/>
      <w:szCs w:val="18"/>
    </w:rPr>
  </w:style>
  <w:style w:type="character" w:customStyle="1" w:styleId="Heading1Char">
    <w:name w:val="Heading 1 Char"/>
    <w:basedOn w:val="DefaultParagraphFont"/>
    <w:link w:val="Heading1"/>
    <w:uiPriority w:val="9"/>
    <w:rsid w:val="00506686"/>
    <w:rPr>
      <w:rFonts w:ascii="Times New Roman" w:eastAsiaTheme="majorEastAsia" w:hAnsi="Times New Roman" w:cstheme="majorBidi"/>
      <w:b/>
      <w:color w:val="A40000"/>
      <w:sz w:val="28"/>
      <w:szCs w:val="32"/>
    </w:rPr>
  </w:style>
  <w:style w:type="character" w:customStyle="1" w:styleId="Heading2Char">
    <w:name w:val="Heading 2 Char"/>
    <w:basedOn w:val="DefaultParagraphFont"/>
    <w:link w:val="Heading2"/>
    <w:uiPriority w:val="9"/>
    <w:rsid w:val="00506686"/>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506686"/>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513848"/>
    <w:pPr>
      <w:tabs>
        <w:tab w:val="left" w:pos="567"/>
        <w:tab w:val="right" w:leader="dot" w:pos="9016"/>
      </w:tabs>
      <w:spacing w:after="100"/>
    </w:pPr>
    <w:rPr>
      <w:rFonts w:ascii="Cambria" w:hAnsi="Cambria"/>
      <w:b/>
      <w:noProof/>
    </w:rPr>
  </w:style>
  <w:style w:type="paragraph" w:styleId="TOC2">
    <w:name w:val="toc 2"/>
    <w:basedOn w:val="Normal"/>
    <w:next w:val="Normal"/>
    <w:autoRedefine/>
    <w:uiPriority w:val="39"/>
    <w:unhideWhenUsed/>
    <w:rsid w:val="00506686"/>
    <w:pPr>
      <w:tabs>
        <w:tab w:val="left" w:pos="567"/>
        <w:tab w:val="right" w:leader="dot" w:pos="9016"/>
      </w:tabs>
      <w:spacing w:after="100"/>
    </w:pPr>
  </w:style>
  <w:style w:type="character" w:styleId="Hyperlink">
    <w:name w:val="Hyperlink"/>
    <w:basedOn w:val="DefaultParagraphFont"/>
    <w:uiPriority w:val="99"/>
    <w:unhideWhenUsed/>
    <w:rsid w:val="00506686"/>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3447A"/>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3447A"/>
    <w:rPr>
      <w:rFonts w:ascii="Calibri" w:eastAsia="Calibri" w:hAnsi="Calibri" w:cs="Times New Roman"/>
      <w:b/>
      <w:bCs/>
      <w:sz w:val="20"/>
      <w:szCs w:val="20"/>
    </w:rPr>
  </w:style>
  <w:style w:type="paragraph" w:customStyle="1" w:styleId="Default">
    <w:name w:val="Default"/>
    <w:rsid w:val="005C1EC7"/>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AD1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7D0"/>
  </w:style>
  <w:style w:type="paragraph" w:styleId="Footer">
    <w:name w:val="footer"/>
    <w:basedOn w:val="Normal"/>
    <w:link w:val="FooterChar"/>
    <w:uiPriority w:val="99"/>
    <w:unhideWhenUsed/>
    <w:rsid w:val="00AD1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7D0"/>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C04FF4"/>
  </w:style>
  <w:style w:type="character" w:customStyle="1" w:styleId="Heading3Char">
    <w:name w:val="Heading 3 Char"/>
    <w:basedOn w:val="DefaultParagraphFont"/>
    <w:link w:val="Heading3"/>
    <w:uiPriority w:val="9"/>
    <w:semiHidden/>
    <w:rsid w:val="00470B7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9438E"/>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3F691F"/>
    <w:pPr>
      <w:spacing w:after="100"/>
      <w:ind w:left="440"/>
    </w:pPr>
  </w:style>
  <w:style w:type="character" w:customStyle="1" w:styleId="fontstyle01">
    <w:name w:val="fontstyle01"/>
    <w:basedOn w:val="DefaultParagraphFont"/>
    <w:rsid w:val="00B253FD"/>
    <w:rPr>
      <w:rFonts w:ascii="FuturaStd-Light" w:hAnsi="FuturaStd-Light" w:hint="default"/>
      <w:b w:val="0"/>
      <w:bCs w:val="0"/>
      <w:i w:val="0"/>
      <w:iCs w:val="0"/>
      <w:color w:val="242021"/>
      <w:sz w:val="22"/>
      <w:szCs w:val="22"/>
    </w:rPr>
  </w:style>
  <w:style w:type="character" w:customStyle="1" w:styleId="q4iawc">
    <w:name w:val="q4iawc"/>
    <w:basedOn w:val="DefaultParagraphFont"/>
    <w:rsid w:val="005F7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845">
      <w:bodyDiv w:val="1"/>
      <w:marLeft w:val="0"/>
      <w:marRight w:val="0"/>
      <w:marTop w:val="0"/>
      <w:marBottom w:val="0"/>
      <w:divBdr>
        <w:top w:val="none" w:sz="0" w:space="0" w:color="auto"/>
        <w:left w:val="none" w:sz="0" w:space="0" w:color="auto"/>
        <w:bottom w:val="none" w:sz="0" w:space="0" w:color="auto"/>
        <w:right w:val="none" w:sz="0" w:space="0" w:color="auto"/>
      </w:divBdr>
    </w:div>
    <w:div w:id="591617">
      <w:bodyDiv w:val="1"/>
      <w:marLeft w:val="0"/>
      <w:marRight w:val="0"/>
      <w:marTop w:val="0"/>
      <w:marBottom w:val="0"/>
      <w:divBdr>
        <w:top w:val="none" w:sz="0" w:space="0" w:color="auto"/>
        <w:left w:val="none" w:sz="0" w:space="0" w:color="auto"/>
        <w:bottom w:val="none" w:sz="0" w:space="0" w:color="auto"/>
        <w:right w:val="none" w:sz="0" w:space="0" w:color="auto"/>
      </w:divBdr>
    </w:div>
    <w:div w:id="743816">
      <w:bodyDiv w:val="1"/>
      <w:marLeft w:val="0"/>
      <w:marRight w:val="0"/>
      <w:marTop w:val="0"/>
      <w:marBottom w:val="0"/>
      <w:divBdr>
        <w:top w:val="none" w:sz="0" w:space="0" w:color="auto"/>
        <w:left w:val="none" w:sz="0" w:space="0" w:color="auto"/>
        <w:bottom w:val="none" w:sz="0" w:space="0" w:color="auto"/>
        <w:right w:val="none" w:sz="0" w:space="0" w:color="auto"/>
      </w:divBdr>
    </w:div>
    <w:div w:id="2901113">
      <w:bodyDiv w:val="1"/>
      <w:marLeft w:val="0"/>
      <w:marRight w:val="0"/>
      <w:marTop w:val="0"/>
      <w:marBottom w:val="0"/>
      <w:divBdr>
        <w:top w:val="none" w:sz="0" w:space="0" w:color="auto"/>
        <w:left w:val="none" w:sz="0" w:space="0" w:color="auto"/>
        <w:bottom w:val="none" w:sz="0" w:space="0" w:color="auto"/>
        <w:right w:val="none" w:sz="0" w:space="0" w:color="auto"/>
      </w:divBdr>
    </w:div>
    <w:div w:id="25908230">
      <w:bodyDiv w:val="1"/>
      <w:marLeft w:val="0"/>
      <w:marRight w:val="0"/>
      <w:marTop w:val="0"/>
      <w:marBottom w:val="0"/>
      <w:divBdr>
        <w:top w:val="none" w:sz="0" w:space="0" w:color="auto"/>
        <w:left w:val="none" w:sz="0" w:space="0" w:color="auto"/>
        <w:bottom w:val="none" w:sz="0" w:space="0" w:color="auto"/>
        <w:right w:val="none" w:sz="0" w:space="0" w:color="auto"/>
      </w:divBdr>
    </w:div>
    <w:div w:id="39059973">
      <w:bodyDiv w:val="1"/>
      <w:marLeft w:val="0"/>
      <w:marRight w:val="0"/>
      <w:marTop w:val="0"/>
      <w:marBottom w:val="0"/>
      <w:divBdr>
        <w:top w:val="none" w:sz="0" w:space="0" w:color="auto"/>
        <w:left w:val="none" w:sz="0" w:space="0" w:color="auto"/>
        <w:bottom w:val="none" w:sz="0" w:space="0" w:color="auto"/>
        <w:right w:val="none" w:sz="0" w:space="0" w:color="auto"/>
      </w:divBdr>
    </w:div>
    <w:div w:id="62876579">
      <w:bodyDiv w:val="1"/>
      <w:marLeft w:val="0"/>
      <w:marRight w:val="0"/>
      <w:marTop w:val="0"/>
      <w:marBottom w:val="0"/>
      <w:divBdr>
        <w:top w:val="none" w:sz="0" w:space="0" w:color="auto"/>
        <w:left w:val="none" w:sz="0" w:space="0" w:color="auto"/>
        <w:bottom w:val="none" w:sz="0" w:space="0" w:color="auto"/>
        <w:right w:val="none" w:sz="0" w:space="0" w:color="auto"/>
      </w:divBdr>
    </w:div>
    <w:div w:id="143280814">
      <w:bodyDiv w:val="1"/>
      <w:marLeft w:val="0"/>
      <w:marRight w:val="0"/>
      <w:marTop w:val="0"/>
      <w:marBottom w:val="0"/>
      <w:divBdr>
        <w:top w:val="none" w:sz="0" w:space="0" w:color="auto"/>
        <w:left w:val="none" w:sz="0" w:space="0" w:color="auto"/>
        <w:bottom w:val="none" w:sz="0" w:space="0" w:color="auto"/>
        <w:right w:val="none" w:sz="0" w:space="0" w:color="auto"/>
      </w:divBdr>
    </w:div>
    <w:div w:id="172916735">
      <w:bodyDiv w:val="1"/>
      <w:marLeft w:val="0"/>
      <w:marRight w:val="0"/>
      <w:marTop w:val="0"/>
      <w:marBottom w:val="0"/>
      <w:divBdr>
        <w:top w:val="none" w:sz="0" w:space="0" w:color="auto"/>
        <w:left w:val="none" w:sz="0" w:space="0" w:color="auto"/>
        <w:bottom w:val="none" w:sz="0" w:space="0" w:color="auto"/>
        <w:right w:val="none" w:sz="0" w:space="0" w:color="auto"/>
      </w:divBdr>
    </w:div>
    <w:div w:id="181746952">
      <w:bodyDiv w:val="1"/>
      <w:marLeft w:val="0"/>
      <w:marRight w:val="0"/>
      <w:marTop w:val="0"/>
      <w:marBottom w:val="0"/>
      <w:divBdr>
        <w:top w:val="none" w:sz="0" w:space="0" w:color="auto"/>
        <w:left w:val="none" w:sz="0" w:space="0" w:color="auto"/>
        <w:bottom w:val="none" w:sz="0" w:space="0" w:color="auto"/>
        <w:right w:val="none" w:sz="0" w:space="0" w:color="auto"/>
      </w:divBdr>
    </w:div>
    <w:div w:id="186212683">
      <w:bodyDiv w:val="1"/>
      <w:marLeft w:val="0"/>
      <w:marRight w:val="0"/>
      <w:marTop w:val="0"/>
      <w:marBottom w:val="0"/>
      <w:divBdr>
        <w:top w:val="none" w:sz="0" w:space="0" w:color="auto"/>
        <w:left w:val="none" w:sz="0" w:space="0" w:color="auto"/>
        <w:bottom w:val="none" w:sz="0" w:space="0" w:color="auto"/>
        <w:right w:val="none" w:sz="0" w:space="0" w:color="auto"/>
      </w:divBdr>
    </w:div>
    <w:div w:id="187262193">
      <w:bodyDiv w:val="1"/>
      <w:marLeft w:val="0"/>
      <w:marRight w:val="0"/>
      <w:marTop w:val="0"/>
      <w:marBottom w:val="0"/>
      <w:divBdr>
        <w:top w:val="none" w:sz="0" w:space="0" w:color="auto"/>
        <w:left w:val="none" w:sz="0" w:space="0" w:color="auto"/>
        <w:bottom w:val="none" w:sz="0" w:space="0" w:color="auto"/>
        <w:right w:val="none" w:sz="0" w:space="0" w:color="auto"/>
      </w:divBdr>
    </w:div>
    <w:div w:id="210657668">
      <w:bodyDiv w:val="1"/>
      <w:marLeft w:val="0"/>
      <w:marRight w:val="0"/>
      <w:marTop w:val="0"/>
      <w:marBottom w:val="0"/>
      <w:divBdr>
        <w:top w:val="none" w:sz="0" w:space="0" w:color="auto"/>
        <w:left w:val="none" w:sz="0" w:space="0" w:color="auto"/>
        <w:bottom w:val="none" w:sz="0" w:space="0" w:color="auto"/>
        <w:right w:val="none" w:sz="0" w:space="0" w:color="auto"/>
      </w:divBdr>
    </w:div>
    <w:div w:id="229660863">
      <w:bodyDiv w:val="1"/>
      <w:marLeft w:val="0"/>
      <w:marRight w:val="0"/>
      <w:marTop w:val="0"/>
      <w:marBottom w:val="0"/>
      <w:divBdr>
        <w:top w:val="none" w:sz="0" w:space="0" w:color="auto"/>
        <w:left w:val="none" w:sz="0" w:space="0" w:color="auto"/>
        <w:bottom w:val="none" w:sz="0" w:space="0" w:color="auto"/>
        <w:right w:val="none" w:sz="0" w:space="0" w:color="auto"/>
      </w:divBdr>
    </w:div>
    <w:div w:id="239800735">
      <w:bodyDiv w:val="1"/>
      <w:marLeft w:val="0"/>
      <w:marRight w:val="0"/>
      <w:marTop w:val="0"/>
      <w:marBottom w:val="0"/>
      <w:divBdr>
        <w:top w:val="none" w:sz="0" w:space="0" w:color="auto"/>
        <w:left w:val="none" w:sz="0" w:space="0" w:color="auto"/>
        <w:bottom w:val="none" w:sz="0" w:space="0" w:color="auto"/>
        <w:right w:val="none" w:sz="0" w:space="0" w:color="auto"/>
      </w:divBdr>
    </w:div>
    <w:div w:id="279647071">
      <w:bodyDiv w:val="1"/>
      <w:marLeft w:val="0"/>
      <w:marRight w:val="0"/>
      <w:marTop w:val="0"/>
      <w:marBottom w:val="0"/>
      <w:divBdr>
        <w:top w:val="none" w:sz="0" w:space="0" w:color="auto"/>
        <w:left w:val="none" w:sz="0" w:space="0" w:color="auto"/>
        <w:bottom w:val="none" w:sz="0" w:space="0" w:color="auto"/>
        <w:right w:val="none" w:sz="0" w:space="0" w:color="auto"/>
      </w:divBdr>
    </w:div>
    <w:div w:id="281615869">
      <w:bodyDiv w:val="1"/>
      <w:marLeft w:val="0"/>
      <w:marRight w:val="0"/>
      <w:marTop w:val="0"/>
      <w:marBottom w:val="0"/>
      <w:divBdr>
        <w:top w:val="none" w:sz="0" w:space="0" w:color="auto"/>
        <w:left w:val="none" w:sz="0" w:space="0" w:color="auto"/>
        <w:bottom w:val="none" w:sz="0" w:space="0" w:color="auto"/>
        <w:right w:val="none" w:sz="0" w:space="0" w:color="auto"/>
      </w:divBdr>
    </w:div>
    <w:div w:id="283853702">
      <w:bodyDiv w:val="1"/>
      <w:marLeft w:val="0"/>
      <w:marRight w:val="0"/>
      <w:marTop w:val="0"/>
      <w:marBottom w:val="0"/>
      <w:divBdr>
        <w:top w:val="none" w:sz="0" w:space="0" w:color="auto"/>
        <w:left w:val="none" w:sz="0" w:space="0" w:color="auto"/>
        <w:bottom w:val="none" w:sz="0" w:space="0" w:color="auto"/>
        <w:right w:val="none" w:sz="0" w:space="0" w:color="auto"/>
      </w:divBdr>
    </w:div>
    <w:div w:id="308286896">
      <w:bodyDiv w:val="1"/>
      <w:marLeft w:val="0"/>
      <w:marRight w:val="0"/>
      <w:marTop w:val="0"/>
      <w:marBottom w:val="0"/>
      <w:divBdr>
        <w:top w:val="none" w:sz="0" w:space="0" w:color="auto"/>
        <w:left w:val="none" w:sz="0" w:space="0" w:color="auto"/>
        <w:bottom w:val="none" w:sz="0" w:space="0" w:color="auto"/>
        <w:right w:val="none" w:sz="0" w:space="0" w:color="auto"/>
      </w:divBdr>
    </w:div>
    <w:div w:id="344744027">
      <w:bodyDiv w:val="1"/>
      <w:marLeft w:val="0"/>
      <w:marRight w:val="0"/>
      <w:marTop w:val="0"/>
      <w:marBottom w:val="0"/>
      <w:divBdr>
        <w:top w:val="none" w:sz="0" w:space="0" w:color="auto"/>
        <w:left w:val="none" w:sz="0" w:space="0" w:color="auto"/>
        <w:bottom w:val="none" w:sz="0" w:space="0" w:color="auto"/>
        <w:right w:val="none" w:sz="0" w:space="0" w:color="auto"/>
      </w:divBdr>
    </w:div>
    <w:div w:id="363025378">
      <w:bodyDiv w:val="1"/>
      <w:marLeft w:val="0"/>
      <w:marRight w:val="0"/>
      <w:marTop w:val="0"/>
      <w:marBottom w:val="0"/>
      <w:divBdr>
        <w:top w:val="none" w:sz="0" w:space="0" w:color="auto"/>
        <w:left w:val="none" w:sz="0" w:space="0" w:color="auto"/>
        <w:bottom w:val="none" w:sz="0" w:space="0" w:color="auto"/>
        <w:right w:val="none" w:sz="0" w:space="0" w:color="auto"/>
      </w:divBdr>
    </w:div>
    <w:div w:id="364914427">
      <w:bodyDiv w:val="1"/>
      <w:marLeft w:val="0"/>
      <w:marRight w:val="0"/>
      <w:marTop w:val="0"/>
      <w:marBottom w:val="0"/>
      <w:divBdr>
        <w:top w:val="none" w:sz="0" w:space="0" w:color="auto"/>
        <w:left w:val="none" w:sz="0" w:space="0" w:color="auto"/>
        <w:bottom w:val="none" w:sz="0" w:space="0" w:color="auto"/>
        <w:right w:val="none" w:sz="0" w:space="0" w:color="auto"/>
      </w:divBdr>
    </w:div>
    <w:div w:id="385764636">
      <w:bodyDiv w:val="1"/>
      <w:marLeft w:val="0"/>
      <w:marRight w:val="0"/>
      <w:marTop w:val="0"/>
      <w:marBottom w:val="0"/>
      <w:divBdr>
        <w:top w:val="none" w:sz="0" w:space="0" w:color="auto"/>
        <w:left w:val="none" w:sz="0" w:space="0" w:color="auto"/>
        <w:bottom w:val="none" w:sz="0" w:space="0" w:color="auto"/>
        <w:right w:val="none" w:sz="0" w:space="0" w:color="auto"/>
      </w:divBdr>
    </w:div>
    <w:div w:id="401294812">
      <w:bodyDiv w:val="1"/>
      <w:marLeft w:val="0"/>
      <w:marRight w:val="0"/>
      <w:marTop w:val="0"/>
      <w:marBottom w:val="0"/>
      <w:divBdr>
        <w:top w:val="none" w:sz="0" w:space="0" w:color="auto"/>
        <w:left w:val="none" w:sz="0" w:space="0" w:color="auto"/>
        <w:bottom w:val="none" w:sz="0" w:space="0" w:color="auto"/>
        <w:right w:val="none" w:sz="0" w:space="0" w:color="auto"/>
      </w:divBdr>
    </w:div>
    <w:div w:id="481698023">
      <w:bodyDiv w:val="1"/>
      <w:marLeft w:val="0"/>
      <w:marRight w:val="0"/>
      <w:marTop w:val="0"/>
      <w:marBottom w:val="0"/>
      <w:divBdr>
        <w:top w:val="none" w:sz="0" w:space="0" w:color="auto"/>
        <w:left w:val="none" w:sz="0" w:space="0" w:color="auto"/>
        <w:bottom w:val="none" w:sz="0" w:space="0" w:color="auto"/>
        <w:right w:val="none" w:sz="0" w:space="0" w:color="auto"/>
      </w:divBdr>
    </w:div>
    <w:div w:id="536696304">
      <w:bodyDiv w:val="1"/>
      <w:marLeft w:val="0"/>
      <w:marRight w:val="0"/>
      <w:marTop w:val="0"/>
      <w:marBottom w:val="0"/>
      <w:divBdr>
        <w:top w:val="none" w:sz="0" w:space="0" w:color="auto"/>
        <w:left w:val="none" w:sz="0" w:space="0" w:color="auto"/>
        <w:bottom w:val="none" w:sz="0" w:space="0" w:color="auto"/>
        <w:right w:val="none" w:sz="0" w:space="0" w:color="auto"/>
      </w:divBdr>
    </w:div>
    <w:div w:id="554663735">
      <w:bodyDiv w:val="1"/>
      <w:marLeft w:val="0"/>
      <w:marRight w:val="0"/>
      <w:marTop w:val="0"/>
      <w:marBottom w:val="0"/>
      <w:divBdr>
        <w:top w:val="none" w:sz="0" w:space="0" w:color="auto"/>
        <w:left w:val="none" w:sz="0" w:space="0" w:color="auto"/>
        <w:bottom w:val="none" w:sz="0" w:space="0" w:color="auto"/>
        <w:right w:val="none" w:sz="0" w:space="0" w:color="auto"/>
      </w:divBdr>
    </w:div>
    <w:div w:id="566452619">
      <w:bodyDiv w:val="1"/>
      <w:marLeft w:val="0"/>
      <w:marRight w:val="0"/>
      <w:marTop w:val="0"/>
      <w:marBottom w:val="0"/>
      <w:divBdr>
        <w:top w:val="none" w:sz="0" w:space="0" w:color="auto"/>
        <w:left w:val="none" w:sz="0" w:space="0" w:color="auto"/>
        <w:bottom w:val="none" w:sz="0" w:space="0" w:color="auto"/>
        <w:right w:val="none" w:sz="0" w:space="0" w:color="auto"/>
      </w:divBdr>
    </w:div>
    <w:div w:id="571161200">
      <w:bodyDiv w:val="1"/>
      <w:marLeft w:val="0"/>
      <w:marRight w:val="0"/>
      <w:marTop w:val="0"/>
      <w:marBottom w:val="0"/>
      <w:divBdr>
        <w:top w:val="none" w:sz="0" w:space="0" w:color="auto"/>
        <w:left w:val="none" w:sz="0" w:space="0" w:color="auto"/>
        <w:bottom w:val="none" w:sz="0" w:space="0" w:color="auto"/>
        <w:right w:val="none" w:sz="0" w:space="0" w:color="auto"/>
      </w:divBdr>
    </w:div>
    <w:div w:id="574244807">
      <w:bodyDiv w:val="1"/>
      <w:marLeft w:val="0"/>
      <w:marRight w:val="0"/>
      <w:marTop w:val="0"/>
      <w:marBottom w:val="0"/>
      <w:divBdr>
        <w:top w:val="none" w:sz="0" w:space="0" w:color="auto"/>
        <w:left w:val="none" w:sz="0" w:space="0" w:color="auto"/>
        <w:bottom w:val="none" w:sz="0" w:space="0" w:color="auto"/>
        <w:right w:val="none" w:sz="0" w:space="0" w:color="auto"/>
      </w:divBdr>
    </w:div>
    <w:div w:id="574710511">
      <w:bodyDiv w:val="1"/>
      <w:marLeft w:val="0"/>
      <w:marRight w:val="0"/>
      <w:marTop w:val="0"/>
      <w:marBottom w:val="0"/>
      <w:divBdr>
        <w:top w:val="none" w:sz="0" w:space="0" w:color="auto"/>
        <w:left w:val="none" w:sz="0" w:space="0" w:color="auto"/>
        <w:bottom w:val="none" w:sz="0" w:space="0" w:color="auto"/>
        <w:right w:val="none" w:sz="0" w:space="0" w:color="auto"/>
      </w:divBdr>
    </w:div>
    <w:div w:id="579289160">
      <w:bodyDiv w:val="1"/>
      <w:marLeft w:val="0"/>
      <w:marRight w:val="0"/>
      <w:marTop w:val="0"/>
      <w:marBottom w:val="0"/>
      <w:divBdr>
        <w:top w:val="none" w:sz="0" w:space="0" w:color="auto"/>
        <w:left w:val="none" w:sz="0" w:space="0" w:color="auto"/>
        <w:bottom w:val="none" w:sz="0" w:space="0" w:color="auto"/>
        <w:right w:val="none" w:sz="0" w:space="0" w:color="auto"/>
      </w:divBdr>
    </w:div>
    <w:div w:id="607660411">
      <w:bodyDiv w:val="1"/>
      <w:marLeft w:val="0"/>
      <w:marRight w:val="0"/>
      <w:marTop w:val="0"/>
      <w:marBottom w:val="0"/>
      <w:divBdr>
        <w:top w:val="none" w:sz="0" w:space="0" w:color="auto"/>
        <w:left w:val="none" w:sz="0" w:space="0" w:color="auto"/>
        <w:bottom w:val="none" w:sz="0" w:space="0" w:color="auto"/>
        <w:right w:val="none" w:sz="0" w:space="0" w:color="auto"/>
      </w:divBdr>
    </w:div>
    <w:div w:id="627322301">
      <w:bodyDiv w:val="1"/>
      <w:marLeft w:val="0"/>
      <w:marRight w:val="0"/>
      <w:marTop w:val="0"/>
      <w:marBottom w:val="0"/>
      <w:divBdr>
        <w:top w:val="none" w:sz="0" w:space="0" w:color="auto"/>
        <w:left w:val="none" w:sz="0" w:space="0" w:color="auto"/>
        <w:bottom w:val="none" w:sz="0" w:space="0" w:color="auto"/>
        <w:right w:val="none" w:sz="0" w:space="0" w:color="auto"/>
      </w:divBdr>
    </w:div>
    <w:div w:id="637953987">
      <w:bodyDiv w:val="1"/>
      <w:marLeft w:val="0"/>
      <w:marRight w:val="0"/>
      <w:marTop w:val="0"/>
      <w:marBottom w:val="0"/>
      <w:divBdr>
        <w:top w:val="none" w:sz="0" w:space="0" w:color="auto"/>
        <w:left w:val="none" w:sz="0" w:space="0" w:color="auto"/>
        <w:bottom w:val="none" w:sz="0" w:space="0" w:color="auto"/>
        <w:right w:val="none" w:sz="0" w:space="0" w:color="auto"/>
      </w:divBdr>
    </w:div>
    <w:div w:id="644167144">
      <w:bodyDiv w:val="1"/>
      <w:marLeft w:val="0"/>
      <w:marRight w:val="0"/>
      <w:marTop w:val="0"/>
      <w:marBottom w:val="0"/>
      <w:divBdr>
        <w:top w:val="none" w:sz="0" w:space="0" w:color="auto"/>
        <w:left w:val="none" w:sz="0" w:space="0" w:color="auto"/>
        <w:bottom w:val="none" w:sz="0" w:space="0" w:color="auto"/>
        <w:right w:val="none" w:sz="0" w:space="0" w:color="auto"/>
      </w:divBdr>
    </w:div>
    <w:div w:id="667096791">
      <w:bodyDiv w:val="1"/>
      <w:marLeft w:val="0"/>
      <w:marRight w:val="0"/>
      <w:marTop w:val="0"/>
      <w:marBottom w:val="0"/>
      <w:divBdr>
        <w:top w:val="none" w:sz="0" w:space="0" w:color="auto"/>
        <w:left w:val="none" w:sz="0" w:space="0" w:color="auto"/>
        <w:bottom w:val="none" w:sz="0" w:space="0" w:color="auto"/>
        <w:right w:val="none" w:sz="0" w:space="0" w:color="auto"/>
      </w:divBdr>
    </w:div>
    <w:div w:id="759569865">
      <w:bodyDiv w:val="1"/>
      <w:marLeft w:val="0"/>
      <w:marRight w:val="0"/>
      <w:marTop w:val="0"/>
      <w:marBottom w:val="0"/>
      <w:divBdr>
        <w:top w:val="none" w:sz="0" w:space="0" w:color="auto"/>
        <w:left w:val="none" w:sz="0" w:space="0" w:color="auto"/>
        <w:bottom w:val="none" w:sz="0" w:space="0" w:color="auto"/>
        <w:right w:val="none" w:sz="0" w:space="0" w:color="auto"/>
      </w:divBdr>
    </w:div>
    <w:div w:id="760952146">
      <w:bodyDiv w:val="1"/>
      <w:marLeft w:val="0"/>
      <w:marRight w:val="0"/>
      <w:marTop w:val="0"/>
      <w:marBottom w:val="0"/>
      <w:divBdr>
        <w:top w:val="none" w:sz="0" w:space="0" w:color="auto"/>
        <w:left w:val="none" w:sz="0" w:space="0" w:color="auto"/>
        <w:bottom w:val="none" w:sz="0" w:space="0" w:color="auto"/>
        <w:right w:val="none" w:sz="0" w:space="0" w:color="auto"/>
      </w:divBdr>
    </w:div>
    <w:div w:id="780995289">
      <w:bodyDiv w:val="1"/>
      <w:marLeft w:val="0"/>
      <w:marRight w:val="0"/>
      <w:marTop w:val="0"/>
      <w:marBottom w:val="0"/>
      <w:divBdr>
        <w:top w:val="none" w:sz="0" w:space="0" w:color="auto"/>
        <w:left w:val="none" w:sz="0" w:space="0" w:color="auto"/>
        <w:bottom w:val="none" w:sz="0" w:space="0" w:color="auto"/>
        <w:right w:val="none" w:sz="0" w:space="0" w:color="auto"/>
      </w:divBdr>
    </w:div>
    <w:div w:id="788940687">
      <w:bodyDiv w:val="1"/>
      <w:marLeft w:val="0"/>
      <w:marRight w:val="0"/>
      <w:marTop w:val="0"/>
      <w:marBottom w:val="0"/>
      <w:divBdr>
        <w:top w:val="none" w:sz="0" w:space="0" w:color="auto"/>
        <w:left w:val="none" w:sz="0" w:space="0" w:color="auto"/>
        <w:bottom w:val="none" w:sz="0" w:space="0" w:color="auto"/>
        <w:right w:val="none" w:sz="0" w:space="0" w:color="auto"/>
      </w:divBdr>
    </w:div>
    <w:div w:id="821239987">
      <w:bodyDiv w:val="1"/>
      <w:marLeft w:val="0"/>
      <w:marRight w:val="0"/>
      <w:marTop w:val="0"/>
      <w:marBottom w:val="0"/>
      <w:divBdr>
        <w:top w:val="none" w:sz="0" w:space="0" w:color="auto"/>
        <w:left w:val="none" w:sz="0" w:space="0" w:color="auto"/>
        <w:bottom w:val="none" w:sz="0" w:space="0" w:color="auto"/>
        <w:right w:val="none" w:sz="0" w:space="0" w:color="auto"/>
      </w:divBdr>
    </w:div>
    <w:div w:id="902519592">
      <w:bodyDiv w:val="1"/>
      <w:marLeft w:val="0"/>
      <w:marRight w:val="0"/>
      <w:marTop w:val="0"/>
      <w:marBottom w:val="0"/>
      <w:divBdr>
        <w:top w:val="none" w:sz="0" w:space="0" w:color="auto"/>
        <w:left w:val="none" w:sz="0" w:space="0" w:color="auto"/>
        <w:bottom w:val="none" w:sz="0" w:space="0" w:color="auto"/>
        <w:right w:val="none" w:sz="0" w:space="0" w:color="auto"/>
      </w:divBdr>
    </w:div>
    <w:div w:id="922952644">
      <w:bodyDiv w:val="1"/>
      <w:marLeft w:val="0"/>
      <w:marRight w:val="0"/>
      <w:marTop w:val="0"/>
      <w:marBottom w:val="0"/>
      <w:divBdr>
        <w:top w:val="none" w:sz="0" w:space="0" w:color="auto"/>
        <w:left w:val="none" w:sz="0" w:space="0" w:color="auto"/>
        <w:bottom w:val="none" w:sz="0" w:space="0" w:color="auto"/>
        <w:right w:val="none" w:sz="0" w:space="0" w:color="auto"/>
      </w:divBdr>
    </w:div>
    <w:div w:id="928856209">
      <w:bodyDiv w:val="1"/>
      <w:marLeft w:val="0"/>
      <w:marRight w:val="0"/>
      <w:marTop w:val="0"/>
      <w:marBottom w:val="0"/>
      <w:divBdr>
        <w:top w:val="none" w:sz="0" w:space="0" w:color="auto"/>
        <w:left w:val="none" w:sz="0" w:space="0" w:color="auto"/>
        <w:bottom w:val="none" w:sz="0" w:space="0" w:color="auto"/>
        <w:right w:val="none" w:sz="0" w:space="0" w:color="auto"/>
      </w:divBdr>
    </w:div>
    <w:div w:id="938098867">
      <w:bodyDiv w:val="1"/>
      <w:marLeft w:val="0"/>
      <w:marRight w:val="0"/>
      <w:marTop w:val="0"/>
      <w:marBottom w:val="0"/>
      <w:divBdr>
        <w:top w:val="none" w:sz="0" w:space="0" w:color="auto"/>
        <w:left w:val="none" w:sz="0" w:space="0" w:color="auto"/>
        <w:bottom w:val="none" w:sz="0" w:space="0" w:color="auto"/>
        <w:right w:val="none" w:sz="0" w:space="0" w:color="auto"/>
      </w:divBdr>
    </w:div>
    <w:div w:id="941642289">
      <w:bodyDiv w:val="1"/>
      <w:marLeft w:val="0"/>
      <w:marRight w:val="0"/>
      <w:marTop w:val="0"/>
      <w:marBottom w:val="0"/>
      <w:divBdr>
        <w:top w:val="none" w:sz="0" w:space="0" w:color="auto"/>
        <w:left w:val="none" w:sz="0" w:space="0" w:color="auto"/>
        <w:bottom w:val="none" w:sz="0" w:space="0" w:color="auto"/>
        <w:right w:val="none" w:sz="0" w:space="0" w:color="auto"/>
      </w:divBdr>
    </w:div>
    <w:div w:id="1009523012">
      <w:bodyDiv w:val="1"/>
      <w:marLeft w:val="0"/>
      <w:marRight w:val="0"/>
      <w:marTop w:val="0"/>
      <w:marBottom w:val="0"/>
      <w:divBdr>
        <w:top w:val="none" w:sz="0" w:space="0" w:color="auto"/>
        <w:left w:val="none" w:sz="0" w:space="0" w:color="auto"/>
        <w:bottom w:val="none" w:sz="0" w:space="0" w:color="auto"/>
        <w:right w:val="none" w:sz="0" w:space="0" w:color="auto"/>
      </w:divBdr>
    </w:div>
    <w:div w:id="1086726636">
      <w:bodyDiv w:val="1"/>
      <w:marLeft w:val="0"/>
      <w:marRight w:val="0"/>
      <w:marTop w:val="0"/>
      <w:marBottom w:val="0"/>
      <w:divBdr>
        <w:top w:val="none" w:sz="0" w:space="0" w:color="auto"/>
        <w:left w:val="none" w:sz="0" w:space="0" w:color="auto"/>
        <w:bottom w:val="none" w:sz="0" w:space="0" w:color="auto"/>
        <w:right w:val="none" w:sz="0" w:space="0" w:color="auto"/>
      </w:divBdr>
    </w:div>
    <w:div w:id="1104033698">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70490940">
      <w:bodyDiv w:val="1"/>
      <w:marLeft w:val="0"/>
      <w:marRight w:val="0"/>
      <w:marTop w:val="0"/>
      <w:marBottom w:val="0"/>
      <w:divBdr>
        <w:top w:val="none" w:sz="0" w:space="0" w:color="auto"/>
        <w:left w:val="none" w:sz="0" w:space="0" w:color="auto"/>
        <w:bottom w:val="none" w:sz="0" w:space="0" w:color="auto"/>
        <w:right w:val="none" w:sz="0" w:space="0" w:color="auto"/>
      </w:divBdr>
    </w:div>
    <w:div w:id="1196774503">
      <w:bodyDiv w:val="1"/>
      <w:marLeft w:val="0"/>
      <w:marRight w:val="0"/>
      <w:marTop w:val="0"/>
      <w:marBottom w:val="0"/>
      <w:divBdr>
        <w:top w:val="none" w:sz="0" w:space="0" w:color="auto"/>
        <w:left w:val="none" w:sz="0" w:space="0" w:color="auto"/>
        <w:bottom w:val="none" w:sz="0" w:space="0" w:color="auto"/>
        <w:right w:val="none" w:sz="0" w:space="0" w:color="auto"/>
      </w:divBdr>
    </w:div>
    <w:div w:id="1218055442">
      <w:bodyDiv w:val="1"/>
      <w:marLeft w:val="0"/>
      <w:marRight w:val="0"/>
      <w:marTop w:val="0"/>
      <w:marBottom w:val="0"/>
      <w:divBdr>
        <w:top w:val="none" w:sz="0" w:space="0" w:color="auto"/>
        <w:left w:val="none" w:sz="0" w:space="0" w:color="auto"/>
        <w:bottom w:val="none" w:sz="0" w:space="0" w:color="auto"/>
        <w:right w:val="none" w:sz="0" w:space="0" w:color="auto"/>
      </w:divBdr>
    </w:div>
    <w:div w:id="1233200364">
      <w:bodyDiv w:val="1"/>
      <w:marLeft w:val="0"/>
      <w:marRight w:val="0"/>
      <w:marTop w:val="0"/>
      <w:marBottom w:val="0"/>
      <w:divBdr>
        <w:top w:val="none" w:sz="0" w:space="0" w:color="auto"/>
        <w:left w:val="none" w:sz="0" w:space="0" w:color="auto"/>
        <w:bottom w:val="none" w:sz="0" w:space="0" w:color="auto"/>
        <w:right w:val="none" w:sz="0" w:space="0" w:color="auto"/>
      </w:divBdr>
    </w:div>
    <w:div w:id="1237128714">
      <w:bodyDiv w:val="1"/>
      <w:marLeft w:val="0"/>
      <w:marRight w:val="0"/>
      <w:marTop w:val="0"/>
      <w:marBottom w:val="0"/>
      <w:divBdr>
        <w:top w:val="none" w:sz="0" w:space="0" w:color="auto"/>
        <w:left w:val="none" w:sz="0" w:space="0" w:color="auto"/>
        <w:bottom w:val="none" w:sz="0" w:space="0" w:color="auto"/>
        <w:right w:val="none" w:sz="0" w:space="0" w:color="auto"/>
      </w:divBdr>
    </w:div>
    <w:div w:id="1257861567">
      <w:bodyDiv w:val="1"/>
      <w:marLeft w:val="0"/>
      <w:marRight w:val="0"/>
      <w:marTop w:val="0"/>
      <w:marBottom w:val="0"/>
      <w:divBdr>
        <w:top w:val="none" w:sz="0" w:space="0" w:color="auto"/>
        <w:left w:val="none" w:sz="0" w:space="0" w:color="auto"/>
        <w:bottom w:val="none" w:sz="0" w:space="0" w:color="auto"/>
        <w:right w:val="none" w:sz="0" w:space="0" w:color="auto"/>
      </w:divBdr>
    </w:div>
    <w:div w:id="1268121756">
      <w:bodyDiv w:val="1"/>
      <w:marLeft w:val="0"/>
      <w:marRight w:val="0"/>
      <w:marTop w:val="0"/>
      <w:marBottom w:val="0"/>
      <w:divBdr>
        <w:top w:val="none" w:sz="0" w:space="0" w:color="auto"/>
        <w:left w:val="none" w:sz="0" w:space="0" w:color="auto"/>
        <w:bottom w:val="none" w:sz="0" w:space="0" w:color="auto"/>
        <w:right w:val="none" w:sz="0" w:space="0" w:color="auto"/>
      </w:divBdr>
    </w:div>
    <w:div w:id="1415323072">
      <w:bodyDiv w:val="1"/>
      <w:marLeft w:val="0"/>
      <w:marRight w:val="0"/>
      <w:marTop w:val="0"/>
      <w:marBottom w:val="0"/>
      <w:divBdr>
        <w:top w:val="none" w:sz="0" w:space="0" w:color="auto"/>
        <w:left w:val="none" w:sz="0" w:space="0" w:color="auto"/>
        <w:bottom w:val="none" w:sz="0" w:space="0" w:color="auto"/>
        <w:right w:val="none" w:sz="0" w:space="0" w:color="auto"/>
      </w:divBdr>
    </w:div>
    <w:div w:id="1419642674">
      <w:bodyDiv w:val="1"/>
      <w:marLeft w:val="0"/>
      <w:marRight w:val="0"/>
      <w:marTop w:val="0"/>
      <w:marBottom w:val="0"/>
      <w:divBdr>
        <w:top w:val="none" w:sz="0" w:space="0" w:color="auto"/>
        <w:left w:val="none" w:sz="0" w:space="0" w:color="auto"/>
        <w:bottom w:val="none" w:sz="0" w:space="0" w:color="auto"/>
        <w:right w:val="none" w:sz="0" w:space="0" w:color="auto"/>
      </w:divBdr>
    </w:div>
    <w:div w:id="1423836661">
      <w:bodyDiv w:val="1"/>
      <w:marLeft w:val="0"/>
      <w:marRight w:val="0"/>
      <w:marTop w:val="0"/>
      <w:marBottom w:val="0"/>
      <w:divBdr>
        <w:top w:val="none" w:sz="0" w:space="0" w:color="auto"/>
        <w:left w:val="none" w:sz="0" w:space="0" w:color="auto"/>
        <w:bottom w:val="none" w:sz="0" w:space="0" w:color="auto"/>
        <w:right w:val="none" w:sz="0" w:space="0" w:color="auto"/>
      </w:divBdr>
    </w:div>
    <w:div w:id="1440756116">
      <w:bodyDiv w:val="1"/>
      <w:marLeft w:val="0"/>
      <w:marRight w:val="0"/>
      <w:marTop w:val="0"/>
      <w:marBottom w:val="0"/>
      <w:divBdr>
        <w:top w:val="none" w:sz="0" w:space="0" w:color="auto"/>
        <w:left w:val="none" w:sz="0" w:space="0" w:color="auto"/>
        <w:bottom w:val="none" w:sz="0" w:space="0" w:color="auto"/>
        <w:right w:val="none" w:sz="0" w:space="0" w:color="auto"/>
      </w:divBdr>
    </w:div>
    <w:div w:id="1453093291">
      <w:bodyDiv w:val="1"/>
      <w:marLeft w:val="0"/>
      <w:marRight w:val="0"/>
      <w:marTop w:val="0"/>
      <w:marBottom w:val="0"/>
      <w:divBdr>
        <w:top w:val="none" w:sz="0" w:space="0" w:color="auto"/>
        <w:left w:val="none" w:sz="0" w:space="0" w:color="auto"/>
        <w:bottom w:val="none" w:sz="0" w:space="0" w:color="auto"/>
        <w:right w:val="none" w:sz="0" w:space="0" w:color="auto"/>
      </w:divBdr>
    </w:div>
    <w:div w:id="1502117642">
      <w:bodyDiv w:val="1"/>
      <w:marLeft w:val="0"/>
      <w:marRight w:val="0"/>
      <w:marTop w:val="0"/>
      <w:marBottom w:val="0"/>
      <w:divBdr>
        <w:top w:val="none" w:sz="0" w:space="0" w:color="auto"/>
        <w:left w:val="none" w:sz="0" w:space="0" w:color="auto"/>
        <w:bottom w:val="none" w:sz="0" w:space="0" w:color="auto"/>
        <w:right w:val="none" w:sz="0" w:space="0" w:color="auto"/>
      </w:divBdr>
    </w:div>
    <w:div w:id="1506478418">
      <w:bodyDiv w:val="1"/>
      <w:marLeft w:val="0"/>
      <w:marRight w:val="0"/>
      <w:marTop w:val="0"/>
      <w:marBottom w:val="0"/>
      <w:divBdr>
        <w:top w:val="none" w:sz="0" w:space="0" w:color="auto"/>
        <w:left w:val="none" w:sz="0" w:space="0" w:color="auto"/>
        <w:bottom w:val="none" w:sz="0" w:space="0" w:color="auto"/>
        <w:right w:val="none" w:sz="0" w:space="0" w:color="auto"/>
      </w:divBdr>
    </w:div>
    <w:div w:id="1527476001">
      <w:bodyDiv w:val="1"/>
      <w:marLeft w:val="0"/>
      <w:marRight w:val="0"/>
      <w:marTop w:val="0"/>
      <w:marBottom w:val="0"/>
      <w:divBdr>
        <w:top w:val="none" w:sz="0" w:space="0" w:color="auto"/>
        <w:left w:val="none" w:sz="0" w:space="0" w:color="auto"/>
        <w:bottom w:val="none" w:sz="0" w:space="0" w:color="auto"/>
        <w:right w:val="none" w:sz="0" w:space="0" w:color="auto"/>
      </w:divBdr>
    </w:div>
    <w:div w:id="1541360357">
      <w:bodyDiv w:val="1"/>
      <w:marLeft w:val="0"/>
      <w:marRight w:val="0"/>
      <w:marTop w:val="0"/>
      <w:marBottom w:val="0"/>
      <w:divBdr>
        <w:top w:val="none" w:sz="0" w:space="0" w:color="auto"/>
        <w:left w:val="none" w:sz="0" w:space="0" w:color="auto"/>
        <w:bottom w:val="none" w:sz="0" w:space="0" w:color="auto"/>
        <w:right w:val="none" w:sz="0" w:space="0" w:color="auto"/>
      </w:divBdr>
    </w:div>
    <w:div w:id="1541898151">
      <w:bodyDiv w:val="1"/>
      <w:marLeft w:val="0"/>
      <w:marRight w:val="0"/>
      <w:marTop w:val="0"/>
      <w:marBottom w:val="0"/>
      <w:divBdr>
        <w:top w:val="none" w:sz="0" w:space="0" w:color="auto"/>
        <w:left w:val="none" w:sz="0" w:space="0" w:color="auto"/>
        <w:bottom w:val="none" w:sz="0" w:space="0" w:color="auto"/>
        <w:right w:val="none" w:sz="0" w:space="0" w:color="auto"/>
      </w:divBdr>
    </w:div>
    <w:div w:id="1544290814">
      <w:bodyDiv w:val="1"/>
      <w:marLeft w:val="0"/>
      <w:marRight w:val="0"/>
      <w:marTop w:val="0"/>
      <w:marBottom w:val="0"/>
      <w:divBdr>
        <w:top w:val="none" w:sz="0" w:space="0" w:color="auto"/>
        <w:left w:val="none" w:sz="0" w:space="0" w:color="auto"/>
        <w:bottom w:val="none" w:sz="0" w:space="0" w:color="auto"/>
        <w:right w:val="none" w:sz="0" w:space="0" w:color="auto"/>
      </w:divBdr>
    </w:div>
    <w:div w:id="1627197561">
      <w:bodyDiv w:val="1"/>
      <w:marLeft w:val="0"/>
      <w:marRight w:val="0"/>
      <w:marTop w:val="0"/>
      <w:marBottom w:val="0"/>
      <w:divBdr>
        <w:top w:val="none" w:sz="0" w:space="0" w:color="auto"/>
        <w:left w:val="none" w:sz="0" w:space="0" w:color="auto"/>
        <w:bottom w:val="none" w:sz="0" w:space="0" w:color="auto"/>
        <w:right w:val="none" w:sz="0" w:space="0" w:color="auto"/>
      </w:divBdr>
    </w:div>
    <w:div w:id="1636058592">
      <w:bodyDiv w:val="1"/>
      <w:marLeft w:val="0"/>
      <w:marRight w:val="0"/>
      <w:marTop w:val="0"/>
      <w:marBottom w:val="0"/>
      <w:divBdr>
        <w:top w:val="none" w:sz="0" w:space="0" w:color="auto"/>
        <w:left w:val="none" w:sz="0" w:space="0" w:color="auto"/>
        <w:bottom w:val="none" w:sz="0" w:space="0" w:color="auto"/>
        <w:right w:val="none" w:sz="0" w:space="0" w:color="auto"/>
      </w:divBdr>
    </w:div>
    <w:div w:id="1653757185">
      <w:bodyDiv w:val="1"/>
      <w:marLeft w:val="0"/>
      <w:marRight w:val="0"/>
      <w:marTop w:val="0"/>
      <w:marBottom w:val="0"/>
      <w:divBdr>
        <w:top w:val="none" w:sz="0" w:space="0" w:color="auto"/>
        <w:left w:val="none" w:sz="0" w:space="0" w:color="auto"/>
        <w:bottom w:val="none" w:sz="0" w:space="0" w:color="auto"/>
        <w:right w:val="none" w:sz="0" w:space="0" w:color="auto"/>
      </w:divBdr>
    </w:div>
    <w:div w:id="1665821463">
      <w:bodyDiv w:val="1"/>
      <w:marLeft w:val="0"/>
      <w:marRight w:val="0"/>
      <w:marTop w:val="0"/>
      <w:marBottom w:val="0"/>
      <w:divBdr>
        <w:top w:val="none" w:sz="0" w:space="0" w:color="auto"/>
        <w:left w:val="none" w:sz="0" w:space="0" w:color="auto"/>
        <w:bottom w:val="none" w:sz="0" w:space="0" w:color="auto"/>
        <w:right w:val="none" w:sz="0" w:space="0" w:color="auto"/>
      </w:divBdr>
    </w:div>
    <w:div w:id="1693798799">
      <w:bodyDiv w:val="1"/>
      <w:marLeft w:val="0"/>
      <w:marRight w:val="0"/>
      <w:marTop w:val="0"/>
      <w:marBottom w:val="0"/>
      <w:divBdr>
        <w:top w:val="none" w:sz="0" w:space="0" w:color="auto"/>
        <w:left w:val="none" w:sz="0" w:space="0" w:color="auto"/>
        <w:bottom w:val="none" w:sz="0" w:space="0" w:color="auto"/>
        <w:right w:val="none" w:sz="0" w:space="0" w:color="auto"/>
      </w:divBdr>
    </w:div>
    <w:div w:id="1714236319">
      <w:bodyDiv w:val="1"/>
      <w:marLeft w:val="0"/>
      <w:marRight w:val="0"/>
      <w:marTop w:val="0"/>
      <w:marBottom w:val="0"/>
      <w:divBdr>
        <w:top w:val="none" w:sz="0" w:space="0" w:color="auto"/>
        <w:left w:val="none" w:sz="0" w:space="0" w:color="auto"/>
        <w:bottom w:val="none" w:sz="0" w:space="0" w:color="auto"/>
        <w:right w:val="none" w:sz="0" w:space="0" w:color="auto"/>
      </w:divBdr>
    </w:div>
    <w:div w:id="1737048229">
      <w:bodyDiv w:val="1"/>
      <w:marLeft w:val="0"/>
      <w:marRight w:val="0"/>
      <w:marTop w:val="0"/>
      <w:marBottom w:val="0"/>
      <w:divBdr>
        <w:top w:val="none" w:sz="0" w:space="0" w:color="auto"/>
        <w:left w:val="none" w:sz="0" w:space="0" w:color="auto"/>
        <w:bottom w:val="none" w:sz="0" w:space="0" w:color="auto"/>
        <w:right w:val="none" w:sz="0" w:space="0" w:color="auto"/>
      </w:divBdr>
    </w:div>
    <w:div w:id="1753818427">
      <w:bodyDiv w:val="1"/>
      <w:marLeft w:val="0"/>
      <w:marRight w:val="0"/>
      <w:marTop w:val="0"/>
      <w:marBottom w:val="0"/>
      <w:divBdr>
        <w:top w:val="none" w:sz="0" w:space="0" w:color="auto"/>
        <w:left w:val="none" w:sz="0" w:space="0" w:color="auto"/>
        <w:bottom w:val="none" w:sz="0" w:space="0" w:color="auto"/>
        <w:right w:val="none" w:sz="0" w:space="0" w:color="auto"/>
      </w:divBdr>
    </w:div>
    <w:div w:id="1814522388">
      <w:bodyDiv w:val="1"/>
      <w:marLeft w:val="0"/>
      <w:marRight w:val="0"/>
      <w:marTop w:val="0"/>
      <w:marBottom w:val="0"/>
      <w:divBdr>
        <w:top w:val="none" w:sz="0" w:space="0" w:color="auto"/>
        <w:left w:val="none" w:sz="0" w:space="0" w:color="auto"/>
        <w:bottom w:val="none" w:sz="0" w:space="0" w:color="auto"/>
        <w:right w:val="none" w:sz="0" w:space="0" w:color="auto"/>
      </w:divBdr>
    </w:div>
    <w:div w:id="1832064776">
      <w:bodyDiv w:val="1"/>
      <w:marLeft w:val="0"/>
      <w:marRight w:val="0"/>
      <w:marTop w:val="0"/>
      <w:marBottom w:val="0"/>
      <w:divBdr>
        <w:top w:val="none" w:sz="0" w:space="0" w:color="auto"/>
        <w:left w:val="none" w:sz="0" w:space="0" w:color="auto"/>
        <w:bottom w:val="none" w:sz="0" w:space="0" w:color="auto"/>
        <w:right w:val="none" w:sz="0" w:space="0" w:color="auto"/>
      </w:divBdr>
    </w:div>
    <w:div w:id="1871919122">
      <w:bodyDiv w:val="1"/>
      <w:marLeft w:val="0"/>
      <w:marRight w:val="0"/>
      <w:marTop w:val="0"/>
      <w:marBottom w:val="0"/>
      <w:divBdr>
        <w:top w:val="none" w:sz="0" w:space="0" w:color="auto"/>
        <w:left w:val="none" w:sz="0" w:space="0" w:color="auto"/>
        <w:bottom w:val="none" w:sz="0" w:space="0" w:color="auto"/>
        <w:right w:val="none" w:sz="0" w:space="0" w:color="auto"/>
      </w:divBdr>
    </w:div>
    <w:div w:id="1897161081">
      <w:bodyDiv w:val="1"/>
      <w:marLeft w:val="0"/>
      <w:marRight w:val="0"/>
      <w:marTop w:val="0"/>
      <w:marBottom w:val="0"/>
      <w:divBdr>
        <w:top w:val="none" w:sz="0" w:space="0" w:color="auto"/>
        <w:left w:val="none" w:sz="0" w:space="0" w:color="auto"/>
        <w:bottom w:val="none" w:sz="0" w:space="0" w:color="auto"/>
        <w:right w:val="none" w:sz="0" w:space="0" w:color="auto"/>
      </w:divBdr>
    </w:div>
    <w:div w:id="1898932020">
      <w:bodyDiv w:val="1"/>
      <w:marLeft w:val="0"/>
      <w:marRight w:val="0"/>
      <w:marTop w:val="0"/>
      <w:marBottom w:val="0"/>
      <w:divBdr>
        <w:top w:val="none" w:sz="0" w:space="0" w:color="auto"/>
        <w:left w:val="none" w:sz="0" w:space="0" w:color="auto"/>
        <w:bottom w:val="none" w:sz="0" w:space="0" w:color="auto"/>
        <w:right w:val="none" w:sz="0" w:space="0" w:color="auto"/>
      </w:divBdr>
    </w:div>
    <w:div w:id="1922370554">
      <w:bodyDiv w:val="1"/>
      <w:marLeft w:val="0"/>
      <w:marRight w:val="0"/>
      <w:marTop w:val="0"/>
      <w:marBottom w:val="0"/>
      <w:divBdr>
        <w:top w:val="none" w:sz="0" w:space="0" w:color="auto"/>
        <w:left w:val="none" w:sz="0" w:space="0" w:color="auto"/>
        <w:bottom w:val="none" w:sz="0" w:space="0" w:color="auto"/>
        <w:right w:val="none" w:sz="0" w:space="0" w:color="auto"/>
      </w:divBdr>
    </w:div>
    <w:div w:id="1957517284">
      <w:bodyDiv w:val="1"/>
      <w:marLeft w:val="0"/>
      <w:marRight w:val="0"/>
      <w:marTop w:val="0"/>
      <w:marBottom w:val="0"/>
      <w:divBdr>
        <w:top w:val="none" w:sz="0" w:space="0" w:color="auto"/>
        <w:left w:val="none" w:sz="0" w:space="0" w:color="auto"/>
        <w:bottom w:val="none" w:sz="0" w:space="0" w:color="auto"/>
        <w:right w:val="none" w:sz="0" w:space="0" w:color="auto"/>
      </w:divBdr>
    </w:div>
    <w:div w:id="1963657289">
      <w:bodyDiv w:val="1"/>
      <w:marLeft w:val="0"/>
      <w:marRight w:val="0"/>
      <w:marTop w:val="0"/>
      <w:marBottom w:val="0"/>
      <w:divBdr>
        <w:top w:val="none" w:sz="0" w:space="0" w:color="auto"/>
        <w:left w:val="none" w:sz="0" w:space="0" w:color="auto"/>
        <w:bottom w:val="none" w:sz="0" w:space="0" w:color="auto"/>
        <w:right w:val="none" w:sz="0" w:space="0" w:color="auto"/>
      </w:divBdr>
    </w:div>
    <w:div w:id="1989282877">
      <w:bodyDiv w:val="1"/>
      <w:marLeft w:val="0"/>
      <w:marRight w:val="0"/>
      <w:marTop w:val="0"/>
      <w:marBottom w:val="0"/>
      <w:divBdr>
        <w:top w:val="none" w:sz="0" w:space="0" w:color="auto"/>
        <w:left w:val="none" w:sz="0" w:space="0" w:color="auto"/>
        <w:bottom w:val="none" w:sz="0" w:space="0" w:color="auto"/>
        <w:right w:val="none" w:sz="0" w:space="0" w:color="auto"/>
      </w:divBdr>
    </w:div>
    <w:div w:id="2003584143">
      <w:bodyDiv w:val="1"/>
      <w:marLeft w:val="0"/>
      <w:marRight w:val="0"/>
      <w:marTop w:val="0"/>
      <w:marBottom w:val="0"/>
      <w:divBdr>
        <w:top w:val="none" w:sz="0" w:space="0" w:color="auto"/>
        <w:left w:val="none" w:sz="0" w:space="0" w:color="auto"/>
        <w:bottom w:val="none" w:sz="0" w:space="0" w:color="auto"/>
        <w:right w:val="none" w:sz="0" w:space="0" w:color="auto"/>
      </w:divBdr>
    </w:div>
    <w:div w:id="2011834744">
      <w:bodyDiv w:val="1"/>
      <w:marLeft w:val="0"/>
      <w:marRight w:val="0"/>
      <w:marTop w:val="0"/>
      <w:marBottom w:val="0"/>
      <w:divBdr>
        <w:top w:val="none" w:sz="0" w:space="0" w:color="auto"/>
        <w:left w:val="none" w:sz="0" w:space="0" w:color="auto"/>
        <w:bottom w:val="none" w:sz="0" w:space="0" w:color="auto"/>
        <w:right w:val="none" w:sz="0" w:space="0" w:color="auto"/>
      </w:divBdr>
    </w:div>
    <w:div w:id="2012826947">
      <w:bodyDiv w:val="1"/>
      <w:marLeft w:val="0"/>
      <w:marRight w:val="0"/>
      <w:marTop w:val="0"/>
      <w:marBottom w:val="0"/>
      <w:divBdr>
        <w:top w:val="none" w:sz="0" w:space="0" w:color="auto"/>
        <w:left w:val="none" w:sz="0" w:space="0" w:color="auto"/>
        <w:bottom w:val="none" w:sz="0" w:space="0" w:color="auto"/>
        <w:right w:val="none" w:sz="0" w:space="0" w:color="auto"/>
      </w:divBdr>
    </w:div>
    <w:div w:id="2014258654">
      <w:bodyDiv w:val="1"/>
      <w:marLeft w:val="0"/>
      <w:marRight w:val="0"/>
      <w:marTop w:val="0"/>
      <w:marBottom w:val="0"/>
      <w:divBdr>
        <w:top w:val="none" w:sz="0" w:space="0" w:color="auto"/>
        <w:left w:val="none" w:sz="0" w:space="0" w:color="auto"/>
        <w:bottom w:val="none" w:sz="0" w:space="0" w:color="auto"/>
        <w:right w:val="none" w:sz="0" w:space="0" w:color="auto"/>
      </w:divBdr>
    </w:div>
    <w:div w:id="2023698876">
      <w:bodyDiv w:val="1"/>
      <w:marLeft w:val="0"/>
      <w:marRight w:val="0"/>
      <w:marTop w:val="0"/>
      <w:marBottom w:val="0"/>
      <w:divBdr>
        <w:top w:val="none" w:sz="0" w:space="0" w:color="auto"/>
        <w:left w:val="none" w:sz="0" w:space="0" w:color="auto"/>
        <w:bottom w:val="none" w:sz="0" w:space="0" w:color="auto"/>
        <w:right w:val="none" w:sz="0" w:space="0" w:color="auto"/>
      </w:divBdr>
    </w:div>
    <w:div w:id="2058233131">
      <w:bodyDiv w:val="1"/>
      <w:marLeft w:val="0"/>
      <w:marRight w:val="0"/>
      <w:marTop w:val="0"/>
      <w:marBottom w:val="0"/>
      <w:divBdr>
        <w:top w:val="none" w:sz="0" w:space="0" w:color="auto"/>
        <w:left w:val="none" w:sz="0" w:space="0" w:color="auto"/>
        <w:bottom w:val="none" w:sz="0" w:space="0" w:color="auto"/>
        <w:right w:val="none" w:sz="0" w:space="0" w:color="auto"/>
      </w:divBdr>
    </w:div>
    <w:div w:id="2059694685">
      <w:bodyDiv w:val="1"/>
      <w:marLeft w:val="0"/>
      <w:marRight w:val="0"/>
      <w:marTop w:val="0"/>
      <w:marBottom w:val="0"/>
      <w:divBdr>
        <w:top w:val="none" w:sz="0" w:space="0" w:color="auto"/>
        <w:left w:val="none" w:sz="0" w:space="0" w:color="auto"/>
        <w:bottom w:val="none" w:sz="0" w:space="0" w:color="auto"/>
        <w:right w:val="none" w:sz="0" w:space="0" w:color="auto"/>
      </w:divBdr>
    </w:div>
    <w:div w:id="2076776193">
      <w:bodyDiv w:val="1"/>
      <w:marLeft w:val="0"/>
      <w:marRight w:val="0"/>
      <w:marTop w:val="0"/>
      <w:marBottom w:val="0"/>
      <w:divBdr>
        <w:top w:val="none" w:sz="0" w:space="0" w:color="auto"/>
        <w:left w:val="none" w:sz="0" w:space="0" w:color="auto"/>
        <w:bottom w:val="none" w:sz="0" w:space="0" w:color="auto"/>
        <w:right w:val="none" w:sz="0" w:space="0" w:color="auto"/>
      </w:divBdr>
    </w:div>
    <w:div w:id="2102674150">
      <w:bodyDiv w:val="1"/>
      <w:marLeft w:val="0"/>
      <w:marRight w:val="0"/>
      <w:marTop w:val="0"/>
      <w:marBottom w:val="0"/>
      <w:divBdr>
        <w:top w:val="none" w:sz="0" w:space="0" w:color="auto"/>
        <w:left w:val="none" w:sz="0" w:space="0" w:color="auto"/>
        <w:bottom w:val="none" w:sz="0" w:space="0" w:color="auto"/>
        <w:right w:val="none" w:sz="0" w:space="0" w:color="auto"/>
      </w:divBdr>
    </w:div>
    <w:div w:id="2130469950">
      <w:bodyDiv w:val="1"/>
      <w:marLeft w:val="0"/>
      <w:marRight w:val="0"/>
      <w:marTop w:val="0"/>
      <w:marBottom w:val="0"/>
      <w:divBdr>
        <w:top w:val="none" w:sz="0" w:space="0" w:color="auto"/>
        <w:left w:val="none" w:sz="0" w:space="0" w:color="auto"/>
        <w:bottom w:val="none" w:sz="0" w:space="0" w:color="auto"/>
        <w:right w:val="none" w:sz="0" w:space="0" w:color="auto"/>
      </w:divBdr>
    </w:div>
    <w:div w:id="213374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24.xml"/><Relationship Id="rId21" Type="http://schemas.openxmlformats.org/officeDocument/2006/relationships/chart" Target="charts/chart12.xml"/><Relationship Id="rId34" Type="http://schemas.openxmlformats.org/officeDocument/2006/relationships/image" Target="media/image4.emf"/><Relationship Id="rId42" Type="http://schemas.openxmlformats.org/officeDocument/2006/relationships/image" Target="media/image9.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image" Target="media/image2.emf"/><Relationship Id="rId37" Type="http://schemas.openxmlformats.org/officeDocument/2006/relationships/chart" Target="charts/chart23.xml"/><Relationship Id="rId40" Type="http://schemas.openxmlformats.org/officeDocument/2006/relationships/chart" Target="charts/chart25.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image" Target="media/image6.emf"/><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4C9C9.A12AE760"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image" Target="media/image5.emf"/><Relationship Id="rId43" Type="http://schemas.openxmlformats.org/officeDocument/2006/relationships/image" Target="media/image10.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image" Target="media/image3.emf"/><Relationship Id="rId38" Type="http://schemas.openxmlformats.org/officeDocument/2006/relationships/image" Target="media/image7.png"/><Relationship Id="rId46" Type="http://schemas.openxmlformats.org/officeDocument/2006/relationships/fontTable" Target="fontTable.xml"/><Relationship Id="rId20" Type="http://schemas.openxmlformats.org/officeDocument/2006/relationships/chart" Target="charts/chart11.xml"/><Relationship Id="rId4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financa.gov.al/plani-vjetor-i-huamarrjes-2023/"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sidiola.basho\Desktop\Analiza%2012M%202022\Grafiket%20per%20analizen%2012M%20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oleObject" Target="file:///C:\Users\sidiola.basho\Desktop\Analiza%2012M%202022\Grafiket%20per%20analizen%2012M%20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xml"/><Relationship Id="rId4"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6.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sidiola.basho\Desktop\Analiza%2012M%202022\Grafiket%20per%20analizen%2012M%202022.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7.xlsx"/></Relationships>
</file>

<file path=word/charts/_rels/chart23.xml.rels><?xml version="1.0" encoding="UTF-8" standalone="yes"?>
<Relationships xmlns="http://schemas.openxmlformats.org/package/2006/relationships"><Relationship Id="rId3" Type="http://schemas.openxmlformats.org/officeDocument/2006/relationships/oleObject" Target="file:///C:\Users\sidiola.basho\Desktop\Analiza%2012M%202022\Grafiket%20per%20analizen%2012M%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8.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sidiola.basho\Desktop\Analiza%2012M%202022\Grafiket%20per%20analizen%2012M%20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94778190514842E-2"/>
          <c:y val="4.8198956119078276E-2"/>
          <c:w val="0.8432626409572398"/>
          <c:h val="0.73910567558006246"/>
        </c:manualLayout>
      </c:layout>
      <c:barChart>
        <c:barDir val="col"/>
        <c:grouping val="clustered"/>
        <c:varyColors val="0"/>
        <c:ser>
          <c:idx val="0"/>
          <c:order val="0"/>
          <c:tx>
            <c:strRef>
              <c:f>'Stoku i Borxhit'!$A$26</c:f>
              <c:strCache>
                <c:ptCount val="1"/>
                <c:pt idx="0">
                  <c:v>Borxhi Shtetëror</c:v>
                </c:pt>
              </c:strCache>
            </c:strRef>
          </c:tx>
          <c:spPr>
            <a:solidFill>
              <a:schemeClr val="accent1">
                <a:lumMod val="50000"/>
              </a:schemeClr>
            </a:solidFill>
            <a:ln>
              <a:noFill/>
            </a:ln>
            <a:effectLst/>
          </c:spPr>
          <c:invertIfNegative val="0"/>
          <c:dLbls>
            <c:dLbl>
              <c:idx val="22"/>
              <c:layout>
                <c:manualLayout>
                  <c:x val="-1.6339680523662022E-17"/>
                  <c:y val="0.43100785405626568"/>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1-3FAD-4E73-91CC-BCE7B2FB2CDD}"/>
                </c:ext>
              </c:extLst>
            </c:dLbl>
            <c:dLbl>
              <c:idx val="23"/>
              <c:layout>
                <c:manualLayout>
                  <c:x val="-3.5650623885918001E-3"/>
                  <c:y val="0.40584174126523159"/>
                </c:manualLayout>
              </c:layout>
              <c:dLblPos val="outEnd"/>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1-FDF3-4C4B-9F95-E56CF7F22321}"/>
                </c:ext>
              </c:extLst>
            </c:dLbl>
            <c:dLbl>
              <c:idx val="24"/>
              <c:layout>
                <c:manualLayout>
                  <c:x val="0"/>
                  <c:y val="0.425035577777112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F3-4C4B-9F95-E56CF7F22321}"/>
                </c:ext>
              </c:extLst>
            </c:dLbl>
            <c:dLbl>
              <c:idx val="25"/>
              <c:layout>
                <c:manualLayout>
                  <c:x val="-1.7825311942959001E-3"/>
                  <c:y val="0.43348602337255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F3-4C4B-9F95-E56CF7F22321}"/>
                </c:ext>
              </c:extLst>
            </c:dLbl>
            <c:dLbl>
              <c:idx val="26"/>
              <c:layout>
                <c:manualLayout>
                  <c:x val="-1.7825311942959001E-3"/>
                  <c:y val="0.407560252687045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F3-4C4B-9F95-E56CF7F22321}"/>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Borxhit'!$B$25:$H$25</c:f>
              <c:strCache>
                <c:ptCount val="5"/>
                <c:pt idx="0">
                  <c:v>2018</c:v>
                </c:pt>
                <c:pt idx="1">
                  <c:v>2019</c:v>
                </c:pt>
                <c:pt idx="2">
                  <c:v>2020</c:v>
                </c:pt>
                <c:pt idx="3">
                  <c:v>2021</c:v>
                </c:pt>
                <c:pt idx="4">
                  <c:v>2022</c:v>
                </c:pt>
              </c:strCache>
            </c:strRef>
          </c:cat>
          <c:val>
            <c:numRef>
              <c:f>'Stoku i Borxhit'!$B$26:$H$26</c:f>
              <c:numCache>
                <c:formatCode>_(* #,##0.0_);_(* \(#,##0.0\);_(* "-"??_);_(@_)</c:formatCode>
                <c:ptCount val="5"/>
                <c:pt idx="0">
                  <c:v>1061.8967513634955</c:v>
                </c:pt>
                <c:pt idx="1">
                  <c:v>1070.1914054458098</c:v>
                </c:pt>
                <c:pt idx="2">
                  <c:v>1175.225527028218</c:v>
                </c:pt>
                <c:pt idx="3">
                  <c:v>1327.728762697297</c:v>
                </c:pt>
                <c:pt idx="4">
                  <c:v>1326.200536979519</c:v>
                </c:pt>
              </c:numCache>
            </c:numRef>
          </c:val>
          <c:extLst>
            <c:ext xmlns:c16="http://schemas.microsoft.com/office/drawing/2014/chart" uri="{C3380CC4-5D6E-409C-BE32-E72D297353CC}">
              <c16:uniqueId val="{00000005-FDF3-4C4B-9F95-E56CF7F22321}"/>
            </c:ext>
          </c:extLst>
        </c:ser>
        <c:ser>
          <c:idx val="1"/>
          <c:order val="1"/>
          <c:tx>
            <c:strRef>
              <c:f>'Stoku i Borxhit'!$A$27</c:f>
              <c:strCache>
                <c:ptCount val="1"/>
                <c:pt idx="0">
                  <c:v>Borxhi i Garantuar</c:v>
                </c:pt>
              </c:strCache>
            </c:strRef>
          </c:tx>
          <c:spPr>
            <a:solidFill>
              <a:schemeClr val="accent1">
                <a:lumMod val="60000"/>
                <a:lumOff val="4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Borxhit'!$B$25:$H$25</c:f>
              <c:strCache>
                <c:ptCount val="5"/>
                <c:pt idx="0">
                  <c:v>2018</c:v>
                </c:pt>
                <c:pt idx="1">
                  <c:v>2019</c:v>
                </c:pt>
                <c:pt idx="2">
                  <c:v>2020</c:v>
                </c:pt>
                <c:pt idx="3">
                  <c:v>2021</c:v>
                </c:pt>
                <c:pt idx="4">
                  <c:v>2022</c:v>
                </c:pt>
              </c:strCache>
            </c:strRef>
          </c:cat>
          <c:val>
            <c:numRef>
              <c:f>'Stoku i Borxhit'!$B$27:$H$27</c:f>
              <c:numCache>
                <c:formatCode>_(* #,##0.0_);_(* \(#,##0.0\);_(* "-"??_);_(@_)</c:formatCode>
                <c:ptCount val="5"/>
                <c:pt idx="0">
                  <c:v>44.672074609123086</c:v>
                </c:pt>
                <c:pt idx="1">
                  <c:v>41.852794389665405</c:v>
                </c:pt>
                <c:pt idx="2">
                  <c:v>48.812704815169255</c:v>
                </c:pt>
                <c:pt idx="3">
                  <c:v>54.896090163403962</c:v>
                </c:pt>
                <c:pt idx="4">
                  <c:v>52.203791635986356</c:v>
                </c:pt>
              </c:numCache>
            </c:numRef>
          </c:val>
          <c:extLst>
            <c:ext xmlns:c16="http://schemas.microsoft.com/office/drawing/2014/chart" uri="{C3380CC4-5D6E-409C-BE32-E72D297353CC}">
              <c16:uniqueId val="{00000006-FDF3-4C4B-9F95-E56CF7F22321}"/>
            </c:ext>
          </c:extLst>
        </c:ser>
        <c:ser>
          <c:idx val="2"/>
          <c:order val="2"/>
          <c:tx>
            <c:strRef>
              <c:f>'Stoku i Borxhit'!$A$28</c:f>
              <c:strCache>
                <c:ptCount val="1"/>
                <c:pt idx="0">
                  <c:v>Borxhi i Pushtetit Lokal</c:v>
                </c:pt>
              </c:strCache>
            </c:strRef>
          </c:tx>
          <c:spPr>
            <a:solidFill>
              <a:schemeClr val="bg1">
                <a:lumMod val="85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Borxhit'!$B$25:$H$25</c:f>
              <c:strCache>
                <c:ptCount val="5"/>
                <c:pt idx="0">
                  <c:v>2018</c:v>
                </c:pt>
                <c:pt idx="1">
                  <c:v>2019</c:v>
                </c:pt>
                <c:pt idx="2">
                  <c:v>2020</c:v>
                </c:pt>
                <c:pt idx="3">
                  <c:v>2021</c:v>
                </c:pt>
                <c:pt idx="4">
                  <c:v>2022</c:v>
                </c:pt>
              </c:strCache>
            </c:strRef>
          </c:cat>
          <c:val>
            <c:numRef>
              <c:f>'Stoku i Borxhit'!$B$28:$H$28</c:f>
              <c:numCache>
                <c:formatCode>_(* #,##0.0_);_(* \(#,##0.0\);_(* "-"??_);_(@_)</c:formatCode>
                <c:ptCount val="5"/>
                <c:pt idx="0">
                  <c:v>0.71568031431814005</c:v>
                </c:pt>
                <c:pt idx="1">
                  <c:v>0.58154912913567702</c:v>
                </c:pt>
                <c:pt idx="2">
                  <c:v>0.43212510779567692</c:v>
                </c:pt>
                <c:pt idx="3">
                  <c:v>0.31487680477723468</c:v>
                </c:pt>
                <c:pt idx="4">
                  <c:v>0.2016170469772347</c:v>
                </c:pt>
              </c:numCache>
            </c:numRef>
          </c:val>
          <c:extLst>
            <c:ext xmlns:c16="http://schemas.microsoft.com/office/drawing/2014/chart" uri="{C3380CC4-5D6E-409C-BE32-E72D297353CC}">
              <c16:uniqueId val="{00000007-FDF3-4C4B-9F95-E56CF7F22321}"/>
            </c:ext>
          </c:extLst>
        </c:ser>
        <c:dLbls>
          <c:showLegendKey val="0"/>
          <c:showVal val="0"/>
          <c:showCatName val="0"/>
          <c:showSerName val="0"/>
          <c:showPercent val="0"/>
          <c:showBubbleSize val="0"/>
        </c:dLbls>
        <c:gapWidth val="80"/>
        <c:axId val="668422480"/>
        <c:axId val="668437168"/>
      </c:barChart>
      <c:lineChart>
        <c:grouping val="standard"/>
        <c:varyColors val="0"/>
        <c:ser>
          <c:idx val="3"/>
          <c:order val="3"/>
          <c:tx>
            <c:strRef>
              <c:f>'Stoku i Borxhit'!$A$29</c:f>
              <c:strCache>
                <c:ptCount val="1"/>
                <c:pt idx="0">
                  <c:v>Borxhi Publik/PBB</c:v>
                </c:pt>
              </c:strCache>
            </c:strRef>
          </c:tx>
          <c:spPr>
            <a:ln w="22225" cap="rnd">
              <a:solidFill>
                <a:srgbClr val="C00000"/>
              </a:solidFill>
              <a:round/>
            </a:ln>
            <a:effectLst/>
          </c:spPr>
          <c:marker>
            <c:symbol val="diamond"/>
            <c:size val="5"/>
            <c:spPr>
              <a:solidFill>
                <a:srgbClr val="C00000"/>
              </a:solidFill>
              <a:ln w="9525">
                <a:noFill/>
              </a:ln>
              <a:effectLst/>
            </c:spPr>
          </c:marker>
          <c:dLbls>
            <c:dLbl>
              <c:idx val="8"/>
              <c:layout>
                <c:manualLayout>
                  <c:x val="-1.9607843137254923E-2"/>
                  <c:y val="-5.8765915768854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1E-49A2-88B3-4780F0561B14}"/>
                </c:ext>
              </c:extLst>
            </c:dLbl>
            <c:dLbl>
              <c:idx val="9"/>
              <c:layout>
                <c:manualLayout>
                  <c:x val="-2.832244008714601E-2"/>
                  <c:y val="-0.10447273914462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1E-49A2-88B3-4780F0561B14}"/>
                </c:ext>
              </c:extLst>
            </c:dLbl>
            <c:dLbl>
              <c:idx val="10"/>
              <c:layout>
                <c:manualLayout>
                  <c:x val="-3.4858387799564274E-2"/>
                  <c:y val="-5.157593123209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1E-49A2-88B3-4780F0561B14}"/>
                </c:ext>
              </c:extLst>
            </c:dLbl>
            <c:dLbl>
              <c:idx val="11"/>
              <c:layout>
                <c:manualLayout>
                  <c:x val="-3.485838779956435E-2"/>
                  <c:y val="-5.157593123209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1E-49A2-88B3-4780F0561B14}"/>
                </c:ext>
              </c:extLst>
            </c:dLbl>
            <c:dLbl>
              <c:idx val="12"/>
              <c:layout>
                <c:manualLayout>
                  <c:x val="-2.178649237472767E-2"/>
                  <c:y val="-5.730659025787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1E-49A2-88B3-4780F0561B14}"/>
                </c:ext>
              </c:extLst>
            </c:dLbl>
            <c:dLbl>
              <c:idx val="13"/>
              <c:layout>
                <c:manualLayout>
                  <c:x val="-2.3965141612200435E-2"/>
                  <c:y val="-4.5845272206303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1E-49A2-88B3-4780F0561B14}"/>
                </c:ext>
              </c:extLst>
            </c:dLbl>
            <c:dLbl>
              <c:idx val="14"/>
              <c:layout>
                <c:manualLayout>
                  <c:x val="-1.8370301751496749E-2"/>
                  <c:y val="-5.9239221171852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1E-49A2-88B3-4780F0561B14}"/>
                </c:ext>
              </c:extLst>
            </c:dLbl>
            <c:dLbl>
              <c:idx val="15"/>
              <c:layout>
                <c:manualLayout>
                  <c:x val="-2.1696255835042571E-2"/>
                  <c:y val="-5.1880653255041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1E-49A2-88B3-4780F0561B14}"/>
                </c:ext>
              </c:extLst>
            </c:dLbl>
            <c:dLbl>
              <c:idx val="16"/>
              <c:layout>
                <c:manualLayout>
                  <c:x val="-2.3668642729137459E-2"/>
                  <c:y val="-5.7068718580545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1E-49A2-88B3-4780F0561B14}"/>
                </c:ext>
              </c:extLst>
            </c:dLbl>
            <c:dLbl>
              <c:idx val="17"/>
              <c:layout>
                <c:manualLayout>
                  <c:x val="-1.577909515275833E-2"/>
                  <c:y val="-6.225678390604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1E-49A2-88B3-4780F0561B14}"/>
                </c:ext>
              </c:extLst>
            </c:dLbl>
            <c:dLbl>
              <c:idx val="18"/>
              <c:layout>
                <c:manualLayout>
                  <c:x val="-1.7751482046853041E-2"/>
                  <c:y val="-3.6316457278528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1E-49A2-88B3-4780F0561B14}"/>
                </c:ext>
              </c:extLst>
            </c:dLbl>
            <c:dLbl>
              <c:idx val="19"/>
              <c:layout>
                <c:manualLayout>
                  <c:x val="-7.8895475763792744E-3"/>
                  <c:y val="-4.6692587929537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1E-49A2-88B3-4780F0561B14}"/>
                </c:ext>
              </c:extLst>
            </c:dLbl>
            <c:dLbl>
              <c:idx val="22"/>
              <c:layout>
                <c:manualLayout>
                  <c:x val="-2.7063599458728042E-2"/>
                  <c:y val="-6.1465721040189124E-2"/>
                </c:manualLayout>
              </c:layout>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2-3FAD-4E73-91CC-BCE7B2FB2CDD}"/>
                </c:ext>
              </c:extLst>
            </c:dLbl>
            <c:dLbl>
              <c:idx val="23"/>
              <c:layout>
                <c:manualLayout>
                  <c:x val="-2.532443471304055E-2"/>
                  <c:y val="-5.132620779816973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9-FDF3-4C4B-9F95-E56CF7F22321}"/>
                </c:ext>
              </c:extLst>
            </c:dLbl>
            <c:dLbl>
              <c:idx val="24"/>
              <c:layout>
                <c:manualLayout>
                  <c:x val="-2.4150293377910585E-2"/>
                  <c:y val="-5.179486634808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F3-4C4B-9F95-E56CF7F22321}"/>
                </c:ext>
              </c:extLst>
            </c:dLbl>
            <c:dLbl>
              <c:idx val="25"/>
              <c:layout>
                <c:manualLayout>
                  <c:x val="-2.271665974094253E-2"/>
                  <c:y val="-4.3986150667336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DF3-4C4B-9F95-E56CF7F22321}"/>
                </c:ext>
              </c:extLst>
            </c:dLbl>
            <c:dLbl>
              <c:idx val="26"/>
              <c:layout>
                <c:manualLayout>
                  <c:x val="-1.8824085748710567E-2"/>
                  <c:y val="-6.1122354188811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DF3-4C4B-9F95-E56CF7F22321}"/>
                </c:ext>
              </c:extLst>
            </c:dLbl>
            <c:dLbl>
              <c:idx val="27"/>
              <c:layout>
                <c:manualLayout>
                  <c:x val="-1.2929294574633843E-2"/>
                  <c:y val="-4.6692587929537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1E-49A2-88B3-4780F0561B14}"/>
                </c:ext>
              </c:extLst>
            </c:dLbl>
            <c:dLbl>
              <c:idx val="28"/>
              <c:layout>
                <c:manualLayout>
                  <c:x val="-1.2929294574633725E-2"/>
                  <c:y val="-6.7444849231553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01E-49A2-88B3-4780F0561B14}"/>
                </c:ext>
              </c:extLst>
            </c:dLbl>
            <c:dLbl>
              <c:idx val="162"/>
              <c:layout>
                <c:manualLayout>
                  <c:x val="-7.5011720581340839E-3"/>
                  <c:y val="-4.9484546794284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DF3-4C4B-9F95-E56CF7F22321}"/>
                </c:ext>
              </c:extLst>
            </c:dLbl>
            <c:dLbl>
              <c:idx val="164"/>
              <c:layout>
                <c:manualLayout>
                  <c:x val="-1.6877637130801686E-2"/>
                  <c:y val="-7.1477678702855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DF3-4C4B-9F95-E56CF7F2232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'Stoku i Borxhit'!$B$25:$H$25</c:f>
              <c:strCache>
                <c:ptCount val="5"/>
                <c:pt idx="0">
                  <c:v>2018</c:v>
                </c:pt>
                <c:pt idx="1">
                  <c:v>2019</c:v>
                </c:pt>
                <c:pt idx="2">
                  <c:v>2020</c:v>
                </c:pt>
                <c:pt idx="3">
                  <c:v>2021</c:v>
                </c:pt>
                <c:pt idx="4">
                  <c:v>2022</c:v>
                </c:pt>
              </c:strCache>
            </c:strRef>
          </c:cat>
          <c:val>
            <c:numRef>
              <c:f>'Stoku i Borxhit'!$B$29:$H$29</c:f>
              <c:numCache>
                <c:formatCode>0.0%</c:formatCode>
                <c:ptCount val="5"/>
                <c:pt idx="0">
                  <c:v>0.67652256110243891</c:v>
                </c:pt>
                <c:pt idx="1">
                  <c:v>0.65761776315890519</c:v>
                </c:pt>
                <c:pt idx="2">
                  <c:v>0.74326044848622186</c:v>
                </c:pt>
                <c:pt idx="3">
                  <c:v>0.74504930273401127</c:v>
                </c:pt>
                <c:pt idx="4">
                  <c:v>0.64587935798101315</c:v>
                </c:pt>
              </c:numCache>
            </c:numRef>
          </c:val>
          <c:smooth val="1"/>
          <c:extLst>
            <c:ext xmlns:c16="http://schemas.microsoft.com/office/drawing/2014/chart" uri="{C3380CC4-5D6E-409C-BE32-E72D297353CC}">
              <c16:uniqueId val="{0000000F-FDF3-4C4B-9F95-E56CF7F22321}"/>
            </c:ext>
          </c:extLst>
        </c:ser>
        <c:dLbls>
          <c:showLegendKey val="0"/>
          <c:showVal val="0"/>
          <c:showCatName val="0"/>
          <c:showSerName val="0"/>
          <c:showPercent val="0"/>
          <c:showBubbleSize val="0"/>
        </c:dLbls>
        <c:marker val="1"/>
        <c:smooth val="0"/>
        <c:axId val="668437712"/>
        <c:axId val="668415408"/>
      </c:lineChart>
      <c:catAx>
        <c:axId val="6684224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37168"/>
        <c:crosses val="autoZero"/>
        <c:auto val="1"/>
        <c:lblAlgn val="ctr"/>
        <c:lblOffset val="100"/>
        <c:noMultiLvlLbl val="0"/>
      </c:catAx>
      <c:valAx>
        <c:axId val="668437168"/>
        <c:scaling>
          <c:orientation val="minMax"/>
          <c:max val="1500"/>
          <c:min val="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në miliard Lekë</a:t>
                </a:r>
              </a:p>
            </c:rich>
          </c:tx>
          <c:layout>
            <c:manualLayout>
              <c:xMode val="edge"/>
              <c:yMode val="edge"/>
              <c:x val="8.0445336489801521E-3"/>
              <c:y val="0.2168792726124134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2480"/>
        <c:crosses val="autoZero"/>
        <c:crossBetween val="between"/>
        <c:majorUnit val="300"/>
      </c:valAx>
      <c:valAx>
        <c:axId val="668415408"/>
        <c:scaling>
          <c:orientation val="minMax"/>
          <c:max val="0.8"/>
          <c:min val="0.5"/>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37712"/>
        <c:crosses val="max"/>
        <c:crossBetween val="between"/>
        <c:majorUnit val="5.000000000000001E-2"/>
      </c:valAx>
      <c:catAx>
        <c:axId val="668437712"/>
        <c:scaling>
          <c:orientation val="minMax"/>
        </c:scaling>
        <c:delete val="1"/>
        <c:axPos val="b"/>
        <c:numFmt formatCode="General" sourceLinked="1"/>
        <c:majorTickMark val="none"/>
        <c:minorTickMark val="none"/>
        <c:tickLblPos val="nextTo"/>
        <c:crossAx val="668415408"/>
        <c:crosses val="autoZero"/>
        <c:auto val="1"/>
        <c:lblAlgn val="ctr"/>
        <c:lblOffset val="100"/>
        <c:noMultiLvlLbl val="0"/>
      </c:catAx>
      <c:spPr>
        <a:noFill/>
        <a:ln>
          <a:noFill/>
        </a:ln>
        <a:effectLst/>
      </c:spPr>
    </c:plotArea>
    <c:legend>
      <c:legendPos val="b"/>
      <c:layout>
        <c:manualLayout>
          <c:xMode val="edge"/>
          <c:yMode val="edge"/>
          <c:x val="8.4927786433112953E-2"/>
          <c:y val="0.89923894494176826"/>
          <c:w val="0.87502990278707826"/>
          <c:h val="8.55519295829466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US" sz="800">
                <a:solidFill>
                  <a:sysClr val="windowText" lastClr="000000"/>
                </a:solidFill>
              </a:rPr>
              <a:t>Borxhi i Jashtëm</a:t>
            </a:r>
            <a:endParaRPr lang="en-US" sz="800" baseline="0">
              <a:solidFill>
                <a:sysClr val="windowText" lastClr="000000"/>
              </a:solidFill>
            </a:endParaRPr>
          </a:p>
        </c:rich>
      </c:tx>
      <c:layout>
        <c:manualLayout>
          <c:xMode val="edge"/>
          <c:yMode val="edge"/>
          <c:x val="0.51145737806870528"/>
          <c:y val="2.5029429460852279E-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6786986159104211"/>
          <c:y val="0.18035454038176149"/>
          <c:w val="0.64727921599728078"/>
          <c:h val="0.76086081229194058"/>
        </c:manualLayout>
      </c:layout>
      <c:pieChart>
        <c:varyColors val="1"/>
        <c:ser>
          <c:idx val="0"/>
          <c:order val="0"/>
          <c:dPt>
            <c:idx val="0"/>
            <c:bubble3D val="0"/>
            <c:explosion val="4"/>
            <c:spPr>
              <a:solidFill>
                <a:srgbClr val="C0000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08C3-40F8-9A70-C9A1C39FEE84}"/>
              </c:ext>
            </c:extLst>
          </c:dPt>
          <c:dPt>
            <c:idx val="1"/>
            <c:bubble3D val="0"/>
            <c:spPr>
              <a:solidFill>
                <a:schemeClr val="accent3"/>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08C3-40F8-9A70-C9A1C39FEE84}"/>
              </c:ext>
            </c:extLst>
          </c:dPt>
          <c:dPt>
            <c:idx val="2"/>
            <c:bubble3D val="0"/>
            <c:spPr>
              <a:solidFill>
                <a:srgbClr val="7030A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08C3-40F8-9A70-C9A1C39FEE84}"/>
              </c:ext>
            </c:extLst>
          </c:dPt>
          <c:dPt>
            <c:idx val="3"/>
            <c:bubble3D val="0"/>
            <c:spPr>
              <a:solidFill>
                <a:schemeClr val="accent6"/>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08C3-40F8-9A70-C9A1C39FEE84}"/>
              </c:ext>
            </c:extLst>
          </c:dPt>
          <c:dLbls>
            <c:dLbl>
              <c:idx val="0"/>
              <c:layout>
                <c:manualLayout>
                  <c:x val="-0.16488183698808104"/>
                  <c:y val="-0.1092191774801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C3-40F8-9A70-C9A1C39FEE84}"/>
                </c:ext>
              </c:extLst>
            </c:dLbl>
            <c:dLbl>
              <c:idx val="1"/>
              <c:layout>
                <c:manualLayout>
                  <c:x val="0.13294407114010906"/>
                  <c:y val="6.0349905866967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C3-40F8-9A70-C9A1C39FEE84}"/>
                </c:ext>
              </c:extLst>
            </c:dLbl>
            <c:dLbl>
              <c:idx val="2"/>
              <c:layout>
                <c:manualLayout>
                  <c:x val="5.091381764489545E-2"/>
                  <c:y val="5.5004676687103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C3-40F8-9A70-C9A1C39FEE84}"/>
                </c:ext>
              </c:extLst>
            </c:dLbl>
            <c:dLbl>
              <c:idx val="3"/>
              <c:layout>
                <c:manualLayout>
                  <c:x val="0.16988314220058592"/>
                  <c:y val="5.4100240372711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C3-40F8-9A70-C9A1C39FEE8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'B.Shteteror sipas Monedhes '!$A$42:$A$45</c:f>
              <c:strCache>
                <c:ptCount val="4"/>
                <c:pt idx="0">
                  <c:v>EUR</c:v>
                </c:pt>
                <c:pt idx="1">
                  <c:v>USD</c:v>
                </c:pt>
                <c:pt idx="2">
                  <c:v>JPY</c:v>
                </c:pt>
                <c:pt idx="3">
                  <c:v>Të tjera</c:v>
                </c:pt>
              </c:strCache>
            </c:strRef>
          </c:cat>
          <c:val>
            <c:numRef>
              <c:f>'B.Shteteror sipas Monedhes '!$O$42:$O$45</c:f>
              <c:numCache>
                <c:formatCode>0.0%</c:formatCode>
                <c:ptCount val="4"/>
                <c:pt idx="0">
                  <c:v>0.74634529237910563</c:v>
                </c:pt>
                <c:pt idx="1">
                  <c:v>0.178096104881622</c:v>
                </c:pt>
                <c:pt idx="2">
                  <c:v>2.2026004862887218E-2</c:v>
                </c:pt>
                <c:pt idx="3">
                  <c:v>5.3532597876385354E-2</c:v>
                </c:pt>
              </c:numCache>
            </c:numRef>
          </c:val>
          <c:extLst>
            <c:ext xmlns:c16="http://schemas.microsoft.com/office/drawing/2014/chart" uri="{C3380CC4-5D6E-409C-BE32-E72D297353CC}">
              <c16:uniqueId val="{00000008-08C3-40F8-9A70-C9A1C39FEE8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'Garancite  (2)'!$A$29</c:f>
              <c:strCache>
                <c:ptCount val="1"/>
                <c:pt idx="0">
                  <c:v>Garanci të brendshme</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(2)'!$B$25:$H$25</c:f>
              <c:numCache>
                <c:formatCode>General</c:formatCode>
                <c:ptCount val="5"/>
                <c:pt idx="0">
                  <c:v>2018</c:v>
                </c:pt>
                <c:pt idx="1">
                  <c:v>2019</c:v>
                </c:pt>
                <c:pt idx="2">
                  <c:v>2020</c:v>
                </c:pt>
                <c:pt idx="3">
                  <c:v>2021</c:v>
                </c:pt>
                <c:pt idx="4">
                  <c:v>2022</c:v>
                </c:pt>
              </c:numCache>
            </c:numRef>
          </c:cat>
          <c:val>
            <c:numRef>
              <c:f>'Garancite  (2)'!$B$29:$H$29</c:f>
              <c:numCache>
                <c:formatCode>0.0%</c:formatCode>
                <c:ptCount val="5"/>
                <c:pt idx="0">
                  <c:v>0.34065539673485801</c:v>
                </c:pt>
                <c:pt idx="1">
                  <c:v>0.36208871464582637</c:v>
                </c:pt>
                <c:pt idx="2">
                  <c:v>0.27240236825029696</c:v>
                </c:pt>
                <c:pt idx="3">
                  <c:v>0.42579821992556333</c:v>
                </c:pt>
                <c:pt idx="4">
                  <c:v>0.3807100854010505</c:v>
                </c:pt>
              </c:numCache>
            </c:numRef>
          </c:val>
          <c:extLst>
            <c:ext xmlns:c16="http://schemas.microsoft.com/office/drawing/2014/chart" uri="{C3380CC4-5D6E-409C-BE32-E72D297353CC}">
              <c16:uniqueId val="{00000000-2AF0-403A-864E-69C6D4822F5A}"/>
            </c:ext>
          </c:extLst>
        </c:ser>
        <c:ser>
          <c:idx val="1"/>
          <c:order val="1"/>
          <c:tx>
            <c:strRef>
              <c:f>'Garancite  (2)'!$A$30</c:f>
              <c:strCache>
                <c:ptCount val="1"/>
                <c:pt idx="0">
                  <c:v>Garanci të huaja</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(2)'!$B$25:$H$25</c:f>
              <c:numCache>
                <c:formatCode>General</c:formatCode>
                <c:ptCount val="5"/>
                <c:pt idx="0">
                  <c:v>2018</c:v>
                </c:pt>
                <c:pt idx="1">
                  <c:v>2019</c:v>
                </c:pt>
                <c:pt idx="2">
                  <c:v>2020</c:v>
                </c:pt>
                <c:pt idx="3">
                  <c:v>2021</c:v>
                </c:pt>
                <c:pt idx="4">
                  <c:v>2022</c:v>
                </c:pt>
              </c:numCache>
            </c:numRef>
          </c:cat>
          <c:val>
            <c:numRef>
              <c:f>'Garancite  (2)'!$B$30:$H$30</c:f>
              <c:numCache>
                <c:formatCode>0.0%</c:formatCode>
                <c:ptCount val="5"/>
                <c:pt idx="0">
                  <c:v>0.65934460326514188</c:v>
                </c:pt>
                <c:pt idx="1">
                  <c:v>0.63791128535417363</c:v>
                </c:pt>
                <c:pt idx="2">
                  <c:v>0.72759763174970293</c:v>
                </c:pt>
                <c:pt idx="3">
                  <c:v>0.57420178007443667</c:v>
                </c:pt>
                <c:pt idx="4">
                  <c:v>0.61928991459894944</c:v>
                </c:pt>
              </c:numCache>
            </c:numRef>
          </c:val>
          <c:extLst>
            <c:ext xmlns:c16="http://schemas.microsoft.com/office/drawing/2014/chart" uri="{C3380CC4-5D6E-409C-BE32-E72D297353CC}">
              <c16:uniqueId val="{00000001-2AF0-403A-864E-69C6D4822F5A}"/>
            </c:ext>
          </c:extLst>
        </c:ser>
        <c:dLbls>
          <c:showLegendKey val="0"/>
          <c:showVal val="0"/>
          <c:showCatName val="0"/>
          <c:showSerName val="0"/>
          <c:showPercent val="0"/>
          <c:showBubbleSize val="0"/>
        </c:dLbls>
        <c:gapWidth val="80"/>
        <c:overlap val="100"/>
        <c:axId val="668414864"/>
        <c:axId val="668440432"/>
      </c:barChart>
      <c:catAx>
        <c:axId val="6684148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40432"/>
        <c:crosses val="autoZero"/>
        <c:auto val="1"/>
        <c:lblAlgn val="ctr"/>
        <c:lblOffset val="100"/>
        <c:noMultiLvlLbl val="0"/>
      </c:catAx>
      <c:valAx>
        <c:axId val="668440432"/>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1486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994213644416534E-2"/>
          <c:y val="5.0351331198164748E-2"/>
          <c:w val="0.90843540716496307"/>
          <c:h val="0.67477951149431881"/>
        </c:manualLayout>
      </c:layout>
      <c:barChart>
        <c:barDir val="col"/>
        <c:grouping val="percentStacked"/>
        <c:varyColors val="0"/>
        <c:ser>
          <c:idx val="0"/>
          <c:order val="0"/>
          <c:tx>
            <c:strRef>
              <c:f>'Garancite  (2)'!$A$18</c:f>
              <c:strCache>
                <c:ptCount val="1"/>
                <c:pt idx="0">
                  <c:v>Energjia</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(2)'!$C$17:$H$17</c:f>
              <c:numCache>
                <c:formatCode>General</c:formatCode>
                <c:ptCount val="6"/>
                <c:pt idx="0">
                  <c:v>2017</c:v>
                </c:pt>
                <c:pt idx="1">
                  <c:v>2018</c:v>
                </c:pt>
                <c:pt idx="2">
                  <c:v>2019</c:v>
                </c:pt>
                <c:pt idx="3">
                  <c:v>2020</c:v>
                </c:pt>
                <c:pt idx="4">
                  <c:v>2021</c:v>
                </c:pt>
                <c:pt idx="5">
                  <c:v>2022</c:v>
                </c:pt>
              </c:numCache>
            </c:numRef>
          </c:cat>
          <c:val>
            <c:numRef>
              <c:f>'Garancite  (2)'!$C$18:$H$18</c:f>
              <c:numCache>
                <c:formatCode>0.0%</c:formatCode>
                <c:ptCount val="6"/>
                <c:pt idx="0">
                  <c:v>0.83114701626977761</c:v>
                </c:pt>
                <c:pt idx="1">
                  <c:v>0.84032379084761044</c:v>
                </c:pt>
                <c:pt idx="2">
                  <c:v>0.83189498470392853</c:v>
                </c:pt>
                <c:pt idx="3">
                  <c:v>0.67205241462345777</c:v>
                </c:pt>
                <c:pt idx="4">
                  <c:v>0.71356891079508245</c:v>
                </c:pt>
                <c:pt idx="5">
                  <c:v>0.76810274044995264</c:v>
                </c:pt>
              </c:numCache>
              <c:extLst/>
            </c:numRef>
          </c:val>
          <c:extLst>
            <c:ext xmlns:c16="http://schemas.microsoft.com/office/drawing/2014/chart" uri="{C3380CC4-5D6E-409C-BE32-E72D297353CC}">
              <c16:uniqueId val="{00000000-A2B6-4B02-8EF6-D99BD2913BBB}"/>
            </c:ext>
          </c:extLst>
        </c:ser>
        <c:ser>
          <c:idx val="1"/>
          <c:order val="1"/>
          <c:tx>
            <c:strRef>
              <c:f>'Garancite  (2)'!$A$19</c:f>
              <c:strCache>
                <c:ptCount val="1"/>
                <c:pt idx="0">
                  <c:v>Media/Bujqësia/Tranport/Të Tjera</c:v>
                </c:pt>
              </c:strCache>
            </c:strRef>
          </c:tx>
          <c:spPr>
            <a:solidFill>
              <a:schemeClr val="accent1"/>
            </a:solidFill>
            <a:ln>
              <a:noFill/>
            </a:ln>
            <a:effectLst/>
          </c:spPr>
          <c:invertIfNegative val="0"/>
          <c:dLbls>
            <c:dLbl>
              <c:idx val="1"/>
              <c:layout>
                <c:manualLayout>
                  <c:x val="0"/>
                  <c:y val="4.17972831765935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B6-4B02-8EF6-D99BD2913BBB}"/>
                </c:ext>
              </c:extLst>
            </c:dLbl>
            <c:dLbl>
              <c:idx val="2"/>
              <c:layout>
                <c:manualLayout>
                  <c:x val="0"/>
                  <c:y val="1.2539184952978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B6-4B02-8EF6-D99BD2913BBB}"/>
                </c:ext>
              </c:extLst>
            </c:dLbl>
            <c:dLbl>
              <c:idx val="3"/>
              <c:layout>
                <c:manualLayout>
                  <c:x val="-1.3713412883072886E-16"/>
                  <c:y val="8.35945663531870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B6-4B02-8EF6-D99BD2913BBB}"/>
                </c:ext>
              </c:extLst>
            </c:dLbl>
            <c:dLbl>
              <c:idx val="4"/>
              <c:layout>
                <c:manualLayout>
                  <c:x val="1.8700324502165069E-3"/>
                  <c:y val="1.2539184952978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B6-4B02-8EF6-D99BD2913BB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(2)'!$C$17:$H$17</c:f>
              <c:numCache>
                <c:formatCode>General</c:formatCode>
                <c:ptCount val="6"/>
                <c:pt idx="0">
                  <c:v>2017</c:v>
                </c:pt>
                <c:pt idx="1">
                  <c:v>2018</c:v>
                </c:pt>
                <c:pt idx="2">
                  <c:v>2019</c:v>
                </c:pt>
                <c:pt idx="3">
                  <c:v>2020</c:v>
                </c:pt>
                <c:pt idx="4">
                  <c:v>2021</c:v>
                </c:pt>
                <c:pt idx="5">
                  <c:v>2022</c:v>
                </c:pt>
              </c:numCache>
            </c:numRef>
          </c:cat>
          <c:val>
            <c:numRef>
              <c:f>'Garancite  (2)'!$C$19:$H$19</c:f>
              <c:numCache>
                <c:formatCode>0.0%</c:formatCode>
                <c:ptCount val="6"/>
                <c:pt idx="0">
                  <c:v>9.2921465986216062E-2</c:v>
                </c:pt>
                <c:pt idx="1">
                  <c:v>8.2105572751604905E-2</c:v>
                </c:pt>
                <c:pt idx="2">
                  <c:v>7.0554520729430775E-2</c:v>
                </c:pt>
                <c:pt idx="3">
                  <c:v>5.1839824072569818E-2</c:v>
                </c:pt>
                <c:pt idx="4">
                  <c:v>3.411137252337381E-2</c:v>
                </c:pt>
                <c:pt idx="5">
                  <c:v>2.4517031169350827E-2</c:v>
                </c:pt>
              </c:numCache>
              <c:extLst/>
            </c:numRef>
          </c:val>
          <c:extLst>
            <c:ext xmlns:c16="http://schemas.microsoft.com/office/drawing/2014/chart" uri="{C3380CC4-5D6E-409C-BE32-E72D297353CC}">
              <c16:uniqueId val="{00000005-A2B6-4B02-8EF6-D99BD2913BBB}"/>
            </c:ext>
          </c:extLst>
        </c:ser>
        <c:ser>
          <c:idx val="2"/>
          <c:order val="2"/>
          <c:tx>
            <c:strRef>
              <c:f>'Garancite  (2)'!$A$20</c:f>
              <c:strCache>
                <c:ptCount val="1"/>
                <c:pt idx="0">
                  <c:v>Ujesjellës Kanalizime</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(2)'!$C$17:$H$17</c:f>
              <c:numCache>
                <c:formatCode>General</c:formatCode>
                <c:ptCount val="6"/>
                <c:pt idx="0">
                  <c:v>2017</c:v>
                </c:pt>
                <c:pt idx="1">
                  <c:v>2018</c:v>
                </c:pt>
                <c:pt idx="2">
                  <c:v>2019</c:v>
                </c:pt>
                <c:pt idx="3">
                  <c:v>2020</c:v>
                </c:pt>
                <c:pt idx="4">
                  <c:v>2021</c:v>
                </c:pt>
                <c:pt idx="5">
                  <c:v>2022</c:v>
                </c:pt>
              </c:numCache>
            </c:numRef>
          </c:cat>
          <c:val>
            <c:numRef>
              <c:f>'Garancite  (2)'!$C$20:$H$20</c:f>
              <c:numCache>
                <c:formatCode>0.0%</c:formatCode>
                <c:ptCount val="6"/>
                <c:pt idx="0">
                  <c:v>7.5931517744006236E-2</c:v>
                </c:pt>
                <c:pt idx="1">
                  <c:v>7.7570636400784584E-2</c:v>
                </c:pt>
                <c:pt idx="2">
                  <c:v>9.755049456664068E-2</c:v>
                </c:pt>
                <c:pt idx="3">
                  <c:v>8.9667988460799139E-2</c:v>
                </c:pt>
                <c:pt idx="4">
                  <c:v>7.8566869605387751E-2</c:v>
                </c:pt>
                <c:pt idx="5">
                  <c:v>7.5875541501886967E-2</c:v>
                </c:pt>
              </c:numCache>
              <c:extLst/>
            </c:numRef>
          </c:val>
          <c:extLst>
            <c:ext xmlns:c16="http://schemas.microsoft.com/office/drawing/2014/chart" uri="{C3380CC4-5D6E-409C-BE32-E72D297353CC}">
              <c16:uniqueId val="{00000006-A2B6-4B02-8EF6-D99BD2913BBB}"/>
            </c:ext>
          </c:extLst>
        </c:ser>
        <c:ser>
          <c:idx val="5"/>
          <c:order val="5"/>
          <c:tx>
            <c:strRef>
              <c:f>'Garancite  (2)'!$A$21</c:f>
              <c:strCache>
                <c:ptCount val="1"/>
                <c:pt idx="0">
                  <c:v>Garancitë në periudhën Covid/Lufta Rusi-Ukrainë</c:v>
                </c:pt>
              </c:strCache>
            </c:strRef>
          </c:tx>
          <c:spPr>
            <a:solidFill>
              <a:schemeClr val="bg1">
                <a:lumMod val="85000"/>
              </a:schemeClr>
            </a:solidFill>
            <a:ln>
              <a:noFill/>
            </a:ln>
            <a:effectLst/>
          </c:spPr>
          <c:invertIfNegative val="0"/>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1-998D-4D85-A3E8-34D69463B33E}"/>
              </c:ext>
            </c:extLst>
          </c:dPt>
          <c:dLbls>
            <c:dLbl>
              <c:idx val="0"/>
              <c:delete val="1"/>
              <c:extLst>
                <c:ext xmlns:c15="http://schemas.microsoft.com/office/drawing/2012/chart" uri="{CE6537A1-D6FC-4f65-9D91-7224C49458BB}"/>
                <c:ext xmlns:c16="http://schemas.microsoft.com/office/drawing/2014/chart" uri="{C3380CC4-5D6E-409C-BE32-E72D297353CC}">
                  <c16:uniqueId val="{00000002-998D-4D85-A3E8-34D69463B33E}"/>
                </c:ext>
              </c:extLst>
            </c:dLbl>
            <c:dLbl>
              <c:idx val="1"/>
              <c:delete val="1"/>
              <c:extLst>
                <c:ext xmlns:c15="http://schemas.microsoft.com/office/drawing/2012/chart" uri="{CE6537A1-D6FC-4f65-9D91-7224C49458BB}"/>
                <c:ext xmlns:c16="http://schemas.microsoft.com/office/drawing/2014/chart" uri="{C3380CC4-5D6E-409C-BE32-E72D297353CC}">
                  <c16:uniqueId val="{00000003-998D-4D85-A3E8-34D69463B33E}"/>
                </c:ext>
              </c:extLst>
            </c:dLbl>
            <c:dLbl>
              <c:idx val="2"/>
              <c:delete val="1"/>
              <c:extLst>
                <c:ext xmlns:c15="http://schemas.microsoft.com/office/drawing/2012/chart" uri="{CE6537A1-D6FC-4f65-9D91-7224C49458BB}"/>
                <c:ext xmlns:c16="http://schemas.microsoft.com/office/drawing/2014/chart" uri="{C3380CC4-5D6E-409C-BE32-E72D297353CC}">
                  <c16:uniqueId val="{00000004-998D-4D85-A3E8-34D69463B3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'Garancite  (2)'!$C$17:$H$17</c:f>
              <c:numCache>
                <c:formatCode>General</c:formatCode>
                <c:ptCount val="6"/>
                <c:pt idx="0">
                  <c:v>2017</c:v>
                </c:pt>
                <c:pt idx="1">
                  <c:v>2018</c:v>
                </c:pt>
                <c:pt idx="2">
                  <c:v>2019</c:v>
                </c:pt>
                <c:pt idx="3">
                  <c:v>2020</c:v>
                </c:pt>
                <c:pt idx="4">
                  <c:v>2021</c:v>
                </c:pt>
                <c:pt idx="5">
                  <c:v>2022</c:v>
                </c:pt>
              </c:numCache>
            </c:numRef>
          </c:cat>
          <c:val>
            <c:numRef>
              <c:f>'Garancite  (2)'!$C$21:$H$21</c:f>
              <c:numCache>
                <c:formatCode>0.0%</c:formatCode>
                <c:ptCount val="6"/>
                <c:pt idx="0">
                  <c:v>0</c:v>
                </c:pt>
                <c:pt idx="1">
                  <c:v>0</c:v>
                </c:pt>
                <c:pt idx="2">
                  <c:v>0</c:v>
                </c:pt>
                <c:pt idx="3">
                  <c:v>0.18643977284317337</c:v>
                </c:pt>
                <c:pt idx="4">
                  <c:v>0.17375284707615607</c:v>
                </c:pt>
                <c:pt idx="5">
                  <c:v>0.13150468687880942</c:v>
                </c:pt>
              </c:numCache>
              <c:extLst/>
            </c:numRef>
          </c:val>
          <c:extLst>
            <c:ext xmlns:c16="http://schemas.microsoft.com/office/drawing/2014/chart" uri="{C3380CC4-5D6E-409C-BE32-E72D297353CC}">
              <c16:uniqueId val="{0000000E-A2B6-4B02-8EF6-D99BD2913BBB}"/>
            </c:ext>
          </c:extLst>
        </c:ser>
        <c:dLbls>
          <c:showLegendKey val="0"/>
          <c:showVal val="0"/>
          <c:showCatName val="0"/>
          <c:showSerName val="0"/>
          <c:showPercent val="0"/>
          <c:showBubbleSize val="0"/>
        </c:dLbls>
        <c:gapWidth val="80"/>
        <c:overlap val="100"/>
        <c:axId val="598273488"/>
        <c:axId val="598272400"/>
        <c:extLst>
          <c:ext xmlns:c15="http://schemas.microsoft.com/office/drawing/2012/chart" uri="{02D57815-91ED-43cb-92C2-25804820EDAC}">
            <c15:filteredBarSeries>
              <c15:ser>
                <c:idx val="3"/>
                <c:order val="3"/>
                <c:tx>
                  <c:strRef>
                    <c:extLst>
                      <c:ext uri="{02D57815-91ED-43cb-92C2-25804820EDAC}">
                        <c15:formulaRef>
                          <c15:sqref>'Garancite  (2)'!#REF!</c15:sqref>
                        </c15:formulaRef>
                      </c:ext>
                    </c:extLst>
                    <c:strCache>
                      <c:ptCount val="1"/>
                      <c:pt idx="0">
                        <c:v>#REF!</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'Garancite  (2)'!$C$17:$H$17</c15:sqref>
                        </c15:formulaRef>
                      </c:ext>
                    </c:extLst>
                    <c:numCache>
                      <c:formatCode>General</c:formatCode>
                      <c:ptCount val="6"/>
                      <c:pt idx="0">
                        <c:v>2017</c:v>
                      </c:pt>
                      <c:pt idx="1">
                        <c:v>2018</c:v>
                      </c:pt>
                      <c:pt idx="2">
                        <c:v>2019</c:v>
                      </c:pt>
                      <c:pt idx="3">
                        <c:v>2020</c:v>
                      </c:pt>
                      <c:pt idx="4">
                        <c:v>2021</c:v>
                      </c:pt>
                      <c:pt idx="5">
                        <c:v>2022</c:v>
                      </c:pt>
                    </c:numCache>
                  </c:numRef>
                </c:cat>
                <c:val>
                  <c:numRef>
                    <c:extLst>
                      <c:ext uri="{02D57815-91ED-43cb-92C2-25804820EDAC}">
                        <c15:formulaRef>
                          <c15:sqref>'Garancite  (2)'!#REF!</c15:sqref>
                        </c15:formulaRef>
                      </c:ext>
                    </c:extLst>
                  </c:numRef>
                </c:val>
                <c:extLst>
                  <c:ext xmlns:c16="http://schemas.microsoft.com/office/drawing/2014/chart" uri="{C3380CC4-5D6E-409C-BE32-E72D297353CC}">
                    <c16:uniqueId val="{00000007-A2B6-4B02-8EF6-D99BD2913BB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'Garancite  (2)'!#REF!</c15:sqref>
                        </c15:formulaRef>
                      </c:ext>
                    </c:extLst>
                    <c:strCache>
                      <c:ptCount val="1"/>
                      <c:pt idx="0">
                        <c:v>#REF!</c:v>
                      </c:pt>
                    </c:strCache>
                  </c:strRef>
                </c:tx>
                <c:spPr>
                  <a:solidFill>
                    <a:schemeClr val="accent6">
                      <a:lumMod val="75000"/>
                    </a:schemeClr>
                  </a:solidFill>
                  <a:ln>
                    <a:noFill/>
                  </a:ln>
                  <a:effectLst/>
                </c:spPr>
                <c:invertIfNegative val="0"/>
                <c:dLbls>
                  <c:dLbl>
                    <c:idx val="1"/>
                    <c:layout>
                      <c:manualLayout>
                        <c:x val="-6.8567064415364431E-17"/>
                        <c:y val="1.3348801619233333E-3"/>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8-A2B6-4B02-8EF6-D99BD2913BBB}"/>
                      </c:ext>
                    </c:extLst>
                  </c:dLbl>
                  <c:dLbl>
                    <c:idx val="2"/>
                    <c:layout>
                      <c:manualLayout>
                        <c:x val="-1.3713412883072886E-16"/>
                        <c:y val="-2.6789754728934745E-3"/>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9-A2B6-4B02-8EF6-D99BD2913BBB}"/>
                      </c:ext>
                    </c:extLst>
                  </c:dLbl>
                  <c:dLbl>
                    <c:idx val="3"/>
                    <c:layout>
                      <c:manualLayout>
                        <c:x val="0"/>
                        <c:y val="1.8923966792551227E-4"/>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A-A2B6-4B02-8EF6-D99BD2913BBB}"/>
                      </c:ext>
                    </c:extLst>
                  </c:dLbl>
                  <c:dLbl>
                    <c:idx val="4"/>
                    <c:layout>
                      <c:manualLayout>
                        <c:x val="0"/>
                        <c:y val="-0.10764549245871198"/>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998D-4D85-A3E8-34D69463B3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'Garancite  (2)'!$C$17:$H$17</c15:sqref>
                        </c15:formulaRef>
                      </c:ext>
                    </c:extLst>
                    <c:numCache>
                      <c:formatCode>General</c:formatCode>
                      <c:ptCount val="6"/>
                      <c:pt idx="0">
                        <c:v>2017</c:v>
                      </c:pt>
                      <c:pt idx="1">
                        <c:v>2018</c:v>
                      </c:pt>
                      <c:pt idx="2">
                        <c:v>2019</c:v>
                      </c:pt>
                      <c:pt idx="3">
                        <c:v>2020</c:v>
                      </c:pt>
                      <c:pt idx="4">
                        <c:v>2021</c:v>
                      </c:pt>
                      <c:pt idx="5">
                        <c:v>2022</c:v>
                      </c:pt>
                    </c:numCache>
                  </c:numRef>
                </c:cat>
                <c:val>
                  <c:numRef>
                    <c:extLst xmlns:c15="http://schemas.microsoft.com/office/drawing/2012/chart">
                      <c:ext xmlns:c15="http://schemas.microsoft.com/office/drawing/2012/chart" uri="{02D57815-91ED-43cb-92C2-25804820EDAC}">
                        <c15:formulaRef>
                          <c15:sqref>'Garancite  (2)'!#REF!</c15:sqref>
                        </c15:formulaRef>
                      </c:ext>
                    </c:extLst>
                  </c:numRef>
                </c:val>
                <c:extLst xmlns:c15="http://schemas.microsoft.com/office/drawing/2012/chart">
                  <c:ext xmlns:c16="http://schemas.microsoft.com/office/drawing/2014/chart" uri="{C3380CC4-5D6E-409C-BE32-E72D297353CC}">
                    <c16:uniqueId val="{0000000B-A2B6-4B02-8EF6-D99BD2913BBB}"/>
                  </c:ext>
                </c:extLst>
              </c15:ser>
            </c15:filteredBarSeries>
          </c:ext>
        </c:extLst>
      </c:barChart>
      <c:catAx>
        <c:axId val="5982734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72400"/>
        <c:crosses val="autoZero"/>
        <c:auto val="1"/>
        <c:lblAlgn val="ctr"/>
        <c:lblOffset val="100"/>
        <c:noMultiLvlLbl val="0"/>
      </c:catAx>
      <c:valAx>
        <c:axId val="598272400"/>
        <c:scaling>
          <c:orientation val="minMax"/>
          <c:max val="1"/>
          <c:min val="0.5"/>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73488"/>
        <c:crosses val="autoZero"/>
        <c:crossBetween val="between"/>
        <c:majorUnit val="0.1"/>
      </c:valAx>
      <c:spPr>
        <a:noFill/>
        <a:ln>
          <a:noFill/>
        </a:ln>
        <a:effectLst/>
      </c:spPr>
    </c:plotArea>
    <c:legend>
      <c:legendPos val="b"/>
      <c:layout>
        <c:manualLayout>
          <c:xMode val="edge"/>
          <c:yMode val="edge"/>
          <c:x val="0.11372120151647713"/>
          <c:y val="0.80818367038155492"/>
          <c:w val="0.83096135041943286"/>
          <c:h val="0.1891964938970678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 Huamarrja e Brendshme'!$A$68</c:f>
              <c:strCache>
                <c:ptCount val="1"/>
                <c:pt idx="0">
                  <c:v>Emetime</c:v>
                </c:pt>
              </c:strCache>
            </c:strRef>
          </c:tx>
          <c:spPr>
            <a:solidFill>
              <a:schemeClr val="accent1">
                <a:lumMod val="50000"/>
              </a:schemeClr>
            </a:solidFill>
            <a:ln>
              <a:noFill/>
            </a:ln>
            <a:effectLst/>
          </c:spPr>
          <c:invertIfNegative val="0"/>
          <c:dLbls>
            <c:dLbl>
              <c:idx val="0"/>
              <c:layout>
                <c:manualLayout>
                  <c:x val="-1.4194061786518715E-3"/>
                  <c:y val="0.505255707613721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26-4435-9D10-FDE9002E1D0E}"/>
                </c:ext>
              </c:extLst>
            </c:dLbl>
            <c:dLbl>
              <c:idx val="1"/>
              <c:layout>
                <c:manualLayout>
                  <c:x val="2.8816745987428212E-3"/>
                  <c:y val="0.497567948891072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26-4435-9D10-FDE9002E1D0E}"/>
                </c:ext>
              </c:extLst>
            </c:dLbl>
            <c:dLbl>
              <c:idx val="2"/>
              <c:layout>
                <c:manualLayout>
                  <c:x val="-1.4193545983652303E-3"/>
                  <c:y val="0.5753032244692460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26-4435-9D10-FDE9002E1D0E}"/>
                </c:ext>
              </c:extLst>
            </c:dLbl>
            <c:dLbl>
              <c:idx val="3"/>
              <c:layout>
                <c:manualLayout>
                  <c:x val="7.3118267188492035E-4"/>
                  <c:y val="0.5758747551273414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26-4435-9D10-FDE9002E1D0E}"/>
                </c:ext>
              </c:extLst>
            </c:dLbl>
            <c:dLbl>
              <c:idx val="4"/>
              <c:layout>
                <c:manualLayout>
                  <c:x val="-1.4193545983651513E-3"/>
                  <c:y val="0.60479505714919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26-4435-9D10-FDE9002E1D0E}"/>
                </c:ext>
              </c:extLst>
            </c:dLbl>
            <c:spPr>
              <a:noFill/>
              <a:ln>
                <a:noFill/>
              </a:ln>
              <a:effectLst/>
            </c:spPr>
            <c:txPr>
              <a:bodyPr rot="0" spcFirstLastPara="1" vertOverflow="ellipsis" vert="horz" wrap="square" lIns="38100" tIns="19050" rIns="38100" bIns="19050" anchor="ctr" anchorCtr="0">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Huamarrja e Brendshme'!$B$67:$G$67</c:f>
              <c:strCache>
                <c:ptCount val="5"/>
                <c:pt idx="0">
                  <c:v>2018</c:v>
                </c:pt>
                <c:pt idx="1">
                  <c:v>2019</c:v>
                </c:pt>
                <c:pt idx="2">
                  <c:v>2020</c:v>
                </c:pt>
                <c:pt idx="3">
                  <c:v>2021</c:v>
                </c:pt>
                <c:pt idx="4">
                  <c:v>2022</c:v>
                </c:pt>
              </c:strCache>
              <c:extLst/>
            </c:strRef>
          </c:cat>
          <c:val>
            <c:numRef>
              <c:f>' Huamarrja e Brendshme'!$B$68:$G$68</c:f>
              <c:numCache>
                <c:formatCode>_(* #,##0.0_);_(* \(#,##0.0\);_(* "-"??_);_(@_)</c:formatCode>
                <c:ptCount val="5"/>
                <c:pt idx="0">
                  <c:v>302.97028800759</c:v>
                </c:pt>
                <c:pt idx="1">
                  <c:v>301.19120821612995</c:v>
                </c:pt>
                <c:pt idx="2">
                  <c:v>349.69098915282001</c:v>
                </c:pt>
                <c:pt idx="3">
                  <c:v>345.12019847028012</c:v>
                </c:pt>
                <c:pt idx="4">
                  <c:v>357.85752261961994</c:v>
                </c:pt>
              </c:numCache>
              <c:extLst/>
            </c:numRef>
          </c:val>
          <c:extLst>
            <c:ext xmlns:c16="http://schemas.microsoft.com/office/drawing/2014/chart" uri="{C3380CC4-5D6E-409C-BE32-E72D297353CC}">
              <c16:uniqueId val="{00000000-8181-418C-AB85-2A2962A0C4B5}"/>
            </c:ext>
          </c:extLst>
        </c:ser>
        <c:dLbls>
          <c:showLegendKey val="0"/>
          <c:showVal val="0"/>
          <c:showCatName val="0"/>
          <c:showSerName val="0"/>
          <c:showPercent val="0"/>
          <c:showBubbleSize val="0"/>
        </c:dLbls>
        <c:gapWidth val="150"/>
        <c:overlap val="-27"/>
        <c:axId val="598282192"/>
        <c:axId val="598264240"/>
      </c:barChart>
      <c:lineChart>
        <c:grouping val="standard"/>
        <c:varyColors val="0"/>
        <c:ser>
          <c:idx val="1"/>
          <c:order val="1"/>
          <c:tx>
            <c:strRef>
              <c:f>' Huamarrja e Brendshme'!$A$70</c:f>
              <c:strCache>
                <c:ptCount val="1"/>
                <c:pt idx="0">
                  <c:v>Emetime/Të ardhura tatimore</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Lbls>
            <c:dLbl>
              <c:idx val="0"/>
              <c:layout>
                <c:manualLayout>
                  <c:x val="-3.6810234725721508E-2"/>
                  <c:y val="-6.253859012744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81-418C-AB85-2A2962A0C4B5}"/>
                </c:ext>
              </c:extLst>
            </c:dLbl>
            <c:dLbl>
              <c:idx val="1"/>
              <c:layout>
                <c:manualLayout>
                  <c:x val="-3.7774016910615556E-2"/>
                  <c:y val="-8.234097142351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81-418C-AB85-2A2962A0C4B5}"/>
                </c:ext>
              </c:extLst>
            </c:dLbl>
            <c:dLbl>
              <c:idx val="2"/>
              <c:layout>
                <c:manualLayout>
                  <c:x val="-3.7390389636558934E-2"/>
                  <c:y val="-6.4917557984140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81-418C-AB85-2A2962A0C4B5}"/>
                </c:ext>
              </c:extLst>
            </c:dLbl>
            <c:dLbl>
              <c:idx val="3"/>
              <c:layout>
                <c:manualLayout>
                  <c:x val="-3.8864270137996003E-2"/>
                  <c:y val="-9.980070498284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81-418C-AB85-2A2962A0C4B5}"/>
                </c:ext>
              </c:extLst>
            </c:dLbl>
            <c:dLbl>
              <c:idx val="4"/>
              <c:layout>
                <c:manualLayout>
                  <c:x val="-3.5145330321022822E-2"/>
                  <c:y val="-8.5594416014379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26-4435-9D10-FDE9002E1D0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40000"/>
                        <a:lumOff val="6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Huamarrja e Brendshme'!$B$67:$G$67</c:f>
              <c:strCache>
                <c:ptCount val="5"/>
                <c:pt idx="0">
                  <c:v>2018</c:v>
                </c:pt>
                <c:pt idx="1">
                  <c:v>2019</c:v>
                </c:pt>
                <c:pt idx="2">
                  <c:v>2020</c:v>
                </c:pt>
                <c:pt idx="3">
                  <c:v>2021</c:v>
                </c:pt>
                <c:pt idx="4">
                  <c:v>2022</c:v>
                </c:pt>
              </c:strCache>
              <c:extLst/>
            </c:strRef>
          </c:cat>
          <c:val>
            <c:numRef>
              <c:f>' Huamarrja e Brendshme'!$B$70:$G$70</c:f>
              <c:numCache>
                <c:formatCode>0.0%</c:formatCode>
                <c:ptCount val="5"/>
                <c:pt idx="0">
                  <c:v>0.72250523571383596</c:v>
                </c:pt>
                <c:pt idx="1">
                  <c:v>0.70657212950477499</c:v>
                </c:pt>
                <c:pt idx="2">
                  <c:v>0.87716817920282752</c:v>
                </c:pt>
                <c:pt idx="3">
                  <c:v>0.72563391686980161</c:v>
                </c:pt>
                <c:pt idx="4">
                  <c:v>0.66105626871667067</c:v>
                </c:pt>
              </c:numCache>
              <c:extLst/>
            </c:numRef>
          </c:val>
          <c:smooth val="1"/>
          <c:extLst>
            <c:ext xmlns:c16="http://schemas.microsoft.com/office/drawing/2014/chart" uri="{C3380CC4-5D6E-409C-BE32-E72D297353CC}">
              <c16:uniqueId val="{00000006-8181-418C-AB85-2A2962A0C4B5}"/>
            </c:ext>
          </c:extLst>
        </c:ser>
        <c:dLbls>
          <c:showLegendKey val="0"/>
          <c:showVal val="0"/>
          <c:showCatName val="0"/>
          <c:showSerName val="0"/>
          <c:showPercent val="0"/>
          <c:showBubbleSize val="0"/>
        </c:dLbls>
        <c:marker val="1"/>
        <c:smooth val="0"/>
        <c:axId val="598274032"/>
        <c:axId val="598260976"/>
      </c:lineChart>
      <c:catAx>
        <c:axId val="5982821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64240"/>
        <c:crosses val="autoZero"/>
        <c:auto val="1"/>
        <c:lblAlgn val="ctr"/>
        <c:lblOffset val="100"/>
        <c:noMultiLvlLbl val="0"/>
      </c:catAx>
      <c:valAx>
        <c:axId val="598264240"/>
        <c:scaling>
          <c:orientation val="minMax"/>
          <c:max val="40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në miliard Lekë</a:t>
                </a:r>
              </a:p>
            </c:rich>
          </c:tx>
          <c:layout>
            <c:manualLayout>
              <c:xMode val="edge"/>
              <c:yMode val="edge"/>
              <c:x val="1.7040824969648254E-2"/>
              <c:y val="0.1463193283571664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82192"/>
        <c:crosses val="autoZero"/>
        <c:crossBetween val="between"/>
        <c:majorUnit val="200"/>
      </c:valAx>
      <c:valAx>
        <c:axId val="598260976"/>
        <c:scaling>
          <c:orientation val="minMax"/>
          <c:max val="1.2"/>
          <c:min val="0.4"/>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74032"/>
        <c:crosses val="max"/>
        <c:crossBetween val="between"/>
        <c:majorUnit val="0.4"/>
      </c:valAx>
      <c:catAx>
        <c:axId val="598274032"/>
        <c:scaling>
          <c:orientation val="minMax"/>
        </c:scaling>
        <c:delete val="1"/>
        <c:axPos val="b"/>
        <c:numFmt formatCode="General" sourceLinked="1"/>
        <c:majorTickMark val="out"/>
        <c:minorTickMark val="none"/>
        <c:tickLblPos val="nextTo"/>
        <c:crossAx val="5982609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15911853300216"/>
          <c:y val="4.1666666666666664E-2"/>
          <c:w val="0.81095654318377985"/>
          <c:h val="0.73577136191309422"/>
        </c:manualLayout>
      </c:layout>
      <c:barChart>
        <c:barDir val="col"/>
        <c:grouping val="clustered"/>
        <c:varyColors val="0"/>
        <c:ser>
          <c:idx val="0"/>
          <c:order val="0"/>
          <c:tx>
            <c:strRef>
              <c:f>'Sherbimi i Borxhit'!$A$21</c:f>
              <c:strCache>
                <c:ptCount val="1"/>
                <c:pt idx="0">
                  <c:v>Borxhi Shtetëror</c:v>
                </c:pt>
              </c:strCache>
            </c:strRef>
          </c:tx>
          <c:spPr>
            <a:solidFill>
              <a:schemeClr val="accent1">
                <a:lumMod val="5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'Sherbimi i Borxhit'!$B$20:$G$20</c:f>
              <c:numCache>
                <c:formatCode>General</c:formatCode>
                <c:ptCount val="5"/>
                <c:pt idx="0">
                  <c:v>2018</c:v>
                </c:pt>
                <c:pt idx="1">
                  <c:v>2019</c:v>
                </c:pt>
                <c:pt idx="2">
                  <c:v>2020</c:v>
                </c:pt>
                <c:pt idx="3">
                  <c:v>2021</c:v>
                </c:pt>
                <c:pt idx="4">
                  <c:v>2022</c:v>
                </c:pt>
              </c:numCache>
            </c:numRef>
          </c:cat>
          <c:val>
            <c:numRef>
              <c:f>'Sherbimi i Borxhit'!$B$21:$G$21</c:f>
              <c:numCache>
                <c:formatCode>_-* #,##0.00_L_e_k_-;\-* #,##0.00_L_e_k_-;_-* "-"??_L_e_k_-;_-@_-</c:formatCode>
                <c:ptCount val="5"/>
                <c:pt idx="0">
                  <c:v>1061.8967513634955</c:v>
                </c:pt>
                <c:pt idx="1">
                  <c:v>1070.1914054458098</c:v>
                </c:pt>
                <c:pt idx="2">
                  <c:v>1175.225527028218</c:v>
                </c:pt>
                <c:pt idx="3">
                  <c:v>1327.728762697297</c:v>
                </c:pt>
                <c:pt idx="4">
                  <c:v>1326.200536979519</c:v>
                </c:pt>
              </c:numCache>
            </c:numRef>
          </c:val>
          <c:extLst>
            <c:ext xmlns:c16="http://schemas.microsoft.com/office/drawing/2014/chart" uri="{C3380CC4-5D6E-409C-BE32-E72D297353CC}">
              <c16:uniqueId val="{00000000-E244-40EC-888F-4991029DEC1B}"/>
            </c:ext>
          </c:extLst>
        </c:ser>
        <c:ser>
          <c:idx val="1"/>
          <c:order val="1"/>
          <c:tx>
            <c:strRef>
              <c:f>'Sherbimi i Borxhit'!$A$22</c:f>
              <c:strCache>
                <c:ptCount val="1"/>
                <c:pt idx="0">
                  <c:v>Interesa</c:v>
                </c:pt>
              </c:strCache>
            </c:strRef>
          </c:tx>
          <c:spPr>
            <a:solidFill>
              <a:schemeClr val="bg1">
                <a:lumMod val="85000"/>
              </a:schemeClr>
            </a:solidFill>
            <a:ln>
              <a:noFill/>
            </a:ln>
            <a:effectLst/>
          </c:spPr>
          <c:invertIfNegative val="0"/>
          <c:dLbls>
            <c:dLbl>
              <c:idx val="0"/>
              <c:layout>
                <c:manualLayout>
                  <c:x val="0"/>
                  <c:y val="2.0481307500867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44-40EC-888F-4991029DEC1B}"/>
                </c:ext>
              </c:extLst>
            </c:dLbl>
            <c:dLbl>
              <c:idx val="1"/>
              <c:layout>
                <c:manualLayout>
                  <c:x val="0"/>
                  <c:y val="2.0481307500867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44-40EC-888F-4991029DEC1B}"/>
                </c:ext>
              </c:extLst>
            </c:dLbl>
            <c:dLbl>
              <c:idx val="2"/>
              <c:layout>
                <c:manualLayout>
                  <c:x val="-1.2437809727170277E-3"/>
                  <c:y val="2.4577569001041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44-40EC-888F-4991029DEC1B}"/>
                </c:ext>
              </c:extLst>
            </c:dLbl>
            <c:dLbl>
              <c:idx val="3"/>
              <c:layout>
                <c:manualLayout>
                  <c:x val="0"/>
                  <c:y val="2.0481307500867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44-40EC-888F-4991029DEC1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'Sherbimi i Borxhit'!$B$20:$G$20</c:f>
              <c:numCache>
                <c:formatCode>General</c:formatCode>
                <c:ptCount val="5"/>
                <c:pt idx="0">
                  <c:v>2018</c:v>
                </c:pt>
                <c:pt idx="1">
                  <c:v>2019</c:v>
                </c:pt>
                <c:pt idx="2">
                  <c:v>2020</c:v>
                </c:pt>
                <c:pt idx="3">
                  <c:v>2021</c:v>
                </c:pt>
                <c:pt idx="4">
                  <c:v>2022</c:v>
                </c:pt>
              </c:numCache>
            </c:numRef>
          </c:cat>
          <c:val>
            <c:numRef>
              <c:f>'Sherbimi i Borxhit'!$B$22:$G$22</c:f>
              <c:numCache>
                <c:formatCode>_-* #,##0.00_L_e_k_-;\-* #,##0.00_L_e_k_-;_-* "-"??_L_e_k_-;_-@_-</c:formatCode>
                <c:ptCount val="5"/>
                <c:pt idx="0">
                  <c:v>36.513370000000002</c:v>
                </c:pt>
                <c:pt idx="1">
                  <c:v>35.142821032270191</c:v>
                </c:pt>
                <c:pt idx="2">
                  <c:v>34.393398750231739</c:v>
                </c:pt>
                <c:pt idx="3">
                  <c:v>35.822296277729997</c:v>
                </c:pt>
                <c:pt idx="4">
                  <c:v>39.624000000000002</c:v>
                </c:pt>
              </c:numCache>
            </c:numRef>
          </c:val>
          <c:extLst>
            <c:ext xmlns:c16="http://schemas.microsoft.com/office/drawing/2014/chart" uri="{C3380CC4-5D6E-409C-BE32-E72D297353CC}">
              <c16:uniqueId val="{00000006-E244-40EC-888F-4991029DEC1B}"/>
            </c:ext>
          </c:extLst>
        </c:ser>
        <c:dLbls>
          <c:showLegendKey val="0"/>
          <c:showVal val="0"/>
          <c:showCatName val="0"/>
          <c:showSerName val="0"/>
          <c:showPercent val="0"/>
          <c:showBubbleSize val="0"/>
        </c:dLbls>
        <c:gapWidth val="100"/>
        <c:overlap val="-27"/>
        <c:axId val="598259344"/>
        <c:axId val="598256624"/>
      </c:barChart>
      <c:lineChart>
        <c:grouping val="standard"/>
        <c:varyColors val="0"/>
        <c:ser>
          <c:idx val="2"/>
          <c:order val="2"/>
          <c:tx>
            <c:strRef>
              <c:f>'Sherbimi i Borxhit'!$A$23</c:f>
              <c:strCache>
                <c:ptCount val="1"/>
                <c:pt idx="0">
                  <c:v>Interesa/PBB</c:v>
                </c:pt>
              </c:strCache>
            </c:strRef>
          </c:tx>
          <c:spPr>
            <a:ln w="25400" cap="rnd">
              <a:solidFill>
                <a:schemeClr val="bg1">
                  <a:lumMod val="50000"/>
                </a:schemeClr>
              </a:solidFill>
              <a:round/>
            </a:ln>
            <a:effectLst/>
          </c:spPr>
          <c:marker>
            <c:symbol val="diamond"/>
            <c:size val="5"/>
            <c:spPr>
              <a:solidFill>
                <a:schemeClr val="bg1">
                  <a:lumMod val="50000"/>
                </a:schemeClr>
              </a:solidFill>
              <a:ln w="9525">
                <a:noFill/>
              </a:ln>
              <a:effectLst/>
            </c:spPr>
          </c:marker>
          <c:dLbls>
            <c:dLbl>
              <c:idx val="0"/>
              <c:layout>
                <c:manualLayout>
                  <c:x val="-1.6076407717670774E-2"/>
                  <c:y val="-4.4558939074722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44-40EC-888F-4991029DEC1B}"/>
                </c:ext>
              </c:extLst>
            </c:dLbl>
            <c:dLbl>
              <c:idx val="1"/>
              <c:layout>
                <c:manualLayout>
                  <c:x val="-2.3285911294986514E-2"/>
                  <c:y val="-5.2949740953055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44-40EC-888F-4991029DEC1B}"/>
                </c:ext>
              </c:extLst>
            </c:dLbl>
            <c:dLbl>
              <c:idx val="2"/>
              <c:layout>
                <c:manualLayout>
                  <c:x val="-2.0427388605458084E-2"/>
                  <c:y val="-5.7314439354042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44-40EC-888F-4991029DEC1B}"/>
                </c:ext>
              </c:extLst>
            </c:dLbl>
            <c:dLbl>
              <c:idx val="3"/>
              <c:layout>
                <c:manualLayout>
                  <c:x val="-1.4925371672604333E-2"/>
                  <c:y val="-7.0511174730388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44-40EC-888F-4991029DEC1B}"/>
                </c:ext>
              </c:extLst>
            </c:dLbl>
            <c:dLbl>
              <c:idx val="4"/>
              <c:layout>
                <c:manualLayout>
                  <c:x val="-2.1786492374727671E-3"/>
                  <c:y val="-7.1352122725651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AD-4EB6-863E-5196A4F1C55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'Sherbimi i Borxhit'!$B$20:$G$20</c:f>
              <c:numCache>
                <c:formatCode>General</c:formatCode>
                <c:ptCount val="5"/>
                <c:pt idx="0">
                  <c:v>2018</c:v>
                </c:pt>
                <c:pt idx="1">
                  <c:v>2019</c:v>
                </c:pt>
                <c:pt idx="2">
                  <c:v>2020</c:v>
                </c:pt>
                <c:pt idx="3">
                  <c:v>2021</c:v>
                </c:pt>
                <c:pt idx="4">
                  <c:v>2022</c:v>
                </c:pt>
              </c:numCache>
            </c:numRef>
          </c:cat>
          <c:val>
            <c:numRef>
              <c:f>'Sherbimi i Borxhit'!$B$23:$G$23</c:f>
              <c:numCache>
                <c:formatCode>0.00%</c:formatCode>
                <c:ptCount val="5"/>
                <c:pt idx="0">
                  <c:v>2.2308736775984266E-2</c:v>
                </c:pt>
                <c:pt idx="1">
                  <c:v>2.0771174296335945E-2</c:v>
                </c:pt>
                <c:pt idx="2">
                  <c:v>2.0876988025837408E-2</c:v>
                </c:pt>
                <c:pt idx="3">
                  <c:v>1.9299016646596626E-2</c:v>
                </c:pt>
                <c:pt idx="4">
                  <c:v>1.8563915063010548E-2</c:v>
                </c:pt>
              </c:numCache>
            </c:numRef>
          </c:val>
          <c:smooth val="1"/>
          <c:extLst>
            <c:ext xmlns:c16="http://schemas.microsoft.com/office/drawing/2014/chart" uri="{C3380CC4-5D6E-409C-BE32-E72D297353CC}">
              <c16:uniqueId val="{0000000C-E244-40EC-888F-4991029DEC1B}"/>
            </c:ext>
          </c:extLst>
        </c:ser>
        <c:ser>
          <c:idx val="3"/>
          <c:order val="3"/>
          <c:tx>
            <c:strRef>
              <c:f>'Sherbimi i Borxhit'!$A$24</c:f>
              <c:strCache>
                <c:ptCount val="1"/>
                <c:pt idx="0">
                  <c:v>Interesa/Të Ardhura Tatimore</c:v>
                </c:pt>
              </c:strCache>
            </c:strRef>
          </c:tx>
          <c:spPr>
            <a:ln w="28575" cap="rnd">
              <a:solidFill>
                <a:srgbClr val="C00000"/>
              </a:solidFill>
              <a:round/>
            </a:ln>
            <a:effectLst/>
          </c:spPr>
          <c:marker>
            <c:symbol val="diamond"/>
            <c:size val="5"/>
            <c:spPr>
              <a:solidFill>
                <a:srgbClr val="C00000"/>
              </a:solidFill>
              <a:ln w="9525">
                <a:noFill/>
              </a:ln>
              <a:effectLst/>
            </c:spPr>
          </c:marker>
          <c:dLbls>
            <c:dLbl>
              <c:idx val="0"/>
              <c:layout>
                <c:manualLayout>
                  <c:x val="-1.2410144315556808E-2"/>
                  <c:y val="-4.2453928134428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244-40EC-888F-4991029DEC1B}"/>
                </c:ext>
              </c:extLst>
            </c:dLbl>
            <c:dLbl>
              <c:idx val="1"/>
              <c:layout>
                <c:manualLayout>
                  <c:x val="-1.2618296529968454E-2"/>
                  <c:y val="-5.6388040462913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44-40EC-888F-4991029DEC1B}"/>
                </c:ext>
              </c:extLst>
            </c:dLbl>
            <c:dLbl>
              <c:idx val="2"/>
              <c:layout>
                <c:manualLayout>
                  <c:x val="-2.2821398113879298E-2"/>
                  <c:y val="-4.210310010181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244-40EC-888F-4991029DEC1B}"/>
                </c:ext>
              </c:extLst>
            </c:dLbl>
            <c:dLbl>
              <c:idx val="3"/>
              <c:layout>
                <c:manualLayout>
                  <c:x val="-7.9959994818340485E-3"/>
                  <c:y val="-5.6338028169014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244-40EC-888F-4991029DEC1B}"/>
                </c:ext>
              </c:extLst>
            </c:dLbl>
            <c:dLbl>
              <c:idx val="4"/>
              <c:layout>
                <c:manualLayout>
                  <c:x val="-6.3091482649842269E-3"/>
                  <c:y val="-3.3214709371292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AD-4EB6-863E-5196A4F1C55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'Sherbimi i Borxhit'!$B$20:$G$20</c:f>
              <c:numCache>
                <c:formatCode>General</c:formatCode>
                <c:ptCount val="5"/>
                <c:pt idx="0">
                  <c:v>2018</c:v>
                </c:pt>
                <c:pt idx="1">
                  <c:v>2019</c:v>
                </c:pt>
                <c:pt idx="2">
                  <c:v>2020</c:v>
                </c:pt>
                <c:pt idx="3">
                  <c:v>2021</c:v>
                </c:pt>
                <c:pt idx="4">
                  <c:v>2022</c:v>
                </c:pt>
              </c:numCache>
            </c:numRef>
          </c:cat>
          <c:val>
            <c:numRef>
              <c:f>'Sherbimi i Borxhit'!$B$24:$G$24</c:f>
              <c:numCache>
                <c:formatCode>0.00%</c:formatCode>
                <c:ptCount val="5"/>
                <c:pt idx="0">
                  <c:v>8.7074814066166129E-2</c:v>
                </c:pt>
                <c:pt idx="1">
                  <c:v>8.2442501164448345E-2</c:v>
                </c:pt>
                <c:pt idx="2">
                  <c:v>8.6273005356479235E-2</c:v>
                </c:pt>
                <c:pt idx="3">
                  <c:v>7.5318337880311156E-2</c:v>
                </c:pt>
                <c:pt idx="4">
                  <c:v>7.3195872479874094E-2</c:v>
                </c:pt>
              </c:numCache>
            </c:numRef>
          </c:val>
          <c:smooth val="1"/>
          <c:extLst>
            <c:ext xmlns:c16="http://schemas.microsoft.com/office/drawing/2014/chart" uri="{C3380CC4-5D6E-409C-BE32-E72D297353CC}">
              <c16:uniqueId val="{00000012-E244-40EC-888F-4991029DEC1B}"/>
            </c:ext>
          </c:extLst>
        </c:ser>
        <c:dLbls>
          <c:showLegendKey val="0"/>
          <c:showVal val="0"/>
          <c:showCatName val="0"/>
          <c:showSerName val="0"/>
          <c:showPercent val="0"/>
          <c:showBubbleSize val="0"/>
        </c:dLbls>
        <c:marker val="1"/>
        <c:smooth val="0"/>
        <c:axId val="598269680"/>
        <c:axId val="598278384"/>
      </c:lineChart>
      <c:catAx>
        <c:axId val="5982593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56624"/>
        <c:crosses val="autoZero"/>
        <c:auto val="1"/>
        <c:lblAlgn val="ctr"/>
        <c:lblOffset val="100"/>
        <c:noMultiLvlLbl val="0"/>
      </c:catAx>
      <c:valAx>
        <c:axId val="598256624"/>
        <c:scaling>
          <c:orientation val="minMax"/>
          <c:max val="15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në miliard Lekë</a:t>
                </a:r>
              </a:p>
            </c:rich>
          </c:tx>
          <c:layout>
            <c:manualLayout>
              <c:xMode val="edge"/>
              <c:yMode val="edge"/>
              <c:x val="5.6876468872763463E-3"/>
              <c:y val="0.2038226759293333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59344"/>
        <c:crosses val="autoZero"/>
        <c:crossBetween val="between"/>
        <c:majorUnit val="300"/>
      </c:valAx>
      <c:valAx>
        <c:axId val="598278384"/>
        <c:scaling>
          <c:orientation val="minMax"/>
          <c:max val="0.12000000000000001"/>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69680"/>
        <c:crosses val="max"/>
        <c:crossBetween val="between"/>
        <c:majorUnit val="3.0000000000000006E-2"/>
      </c:valAx>
      <c:catAx>
        <c:axId val="598269680"/>
        <c:scaling>
          <c:orientation val="minMax"/>
        </c:scaling>
        <c:delete val="1"/>
        <c:axPos val="b"/>
        <c:numFmt formatCode="General" sourceLinked="1"/>
        <c:majorTickMark val="none"/>
        <c:minorTickMark val="none"/>
        <c:tickLblPos val="nextTo"/>
        <c:crossAx val="598278384"/>
        <c:crosses val="autoZero"/>
        <c:auto val="1"/>
        <c:lblAlgn val="ctr"/>
        <c:lblOffset val="100"/>
        <c:noMultiLvlLbl val="0"/>
      </c:catAx>
      <c:spPr>
        <a:noFill/>
        <a:ln>
          <a:noFill/>
        </a:ln>
        <a:effectLst/>
      </c:spPr>
    </c:plotArea>
    <c:legend>
      <c:legendPos val="b"/>
      <c:layout>
        <c:manualLayout>
          <c:xMode val="edge"/>
          <c:yMode val="edge"/>
          <c:x val="0.12903213620524029"/>
          <c:y val="0.88763298953827952"/>
          <c:w val="0.82487738024613511"/>
          <c:h val="7.922590662082733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'Sherbimi i Borxhit'!$A$69</c:f>
              <c:strCache>
                <c:ptCount val="1"/>
                <c:pt idx="0">
                  <c:v>Kosto Mesatare e Borxhit të Brendshëm</c:v>
                </c:pt>
              </c:strCache>
            </c:strRef>
          </c:tx>
          <c:spPr>
            <a:ln w="28575" cap="rnd">
              <a:solidFill>
                <a:schemeClr val="bg1">
                  <a:lumMod val="50000"/>
                </a:schemeClr>
              </a:solidFill>
              <a:round/>
            </a:ln>
            <a:effectLst/>
          </c:spPr>
          <c:marker>
            <c:symbol val="circle"/>
            <c:size val="5"/>
            <c:spPr>
              <a:solidFill>
                <a:schemeClr val="bg1">
                  <a:lumMod val="50000"/>
                </a:schemeClr>
              </a:solidFill>
              <a:ln w="9525">
                <a:solidFill>
                  <a:schemeClr val="bg1">
                    <a:lumMod val="50000"/>
                  </a:schemeClr>
                </a:solidFill>
              </a:ln>
              <a:effectLst/>
            </c:spPr>
          </c:marker>
          <c:dLbls>
            <c:dLbl>
              <c:idx val="0"/>
              <c:layout>
                <c:manualLayout>
                  <c:x val="-9.15750915750915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8A-4F00-84D2-8F9079FE73EC}"/>
                </c:ext>
              </c:extLst>
            </c:dLbl>
            <c:dLbl>
              <c:idx val="1"/>
              <c:layout>
                <c:manualLayout>
                  <c:x val="-7.3260073260073928E-3"/>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8A-4F00-84D2-8F9079FE73EC}"/>
                </c:ext>
              </c:extLst>
            </c:dLbl>
            <c:dLbl>
              <c:idx val="2"/>
              <c:layout>
                <c:manualLayout>
                  <c:x val="-2.747252747252747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8A-4F00-84D2-8F9079FE73EC}"/>
                </c:ext>
              </c:extLst>
            </c:dLbl>
            <c:dLbl>
              <c:idx val="3"/>
              <c:layout>
                <c:manualLayout>
                  <c:x val="-2.197802197802198E-2"/>
                  <c:y val="-5.0925925925925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8A-4F00-84D2-8F9079FE73EC}"/>
                </c:ext>
              </c:extLst>
            </c:dLbl>
            <c:dLbl>
              <c:idx val="4"/>
              <c:layout>
                <c:manualLayout>
                  <c:x val="-2.19780219780219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8A-4F00-84D2-8F9079FE73E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'Sherbimi i Borxhit'!$B$68:$G$68</c:f>
              <c:numCache>
                <c:formatCode>General</c:formatCode>
                <c:ptCount val="5"/>
                <c:pt idx="0">
                  <c:v>2018</c:v>
                </c:pt>
                <c:pt idx="1">
                  <c:v>2019</c:v>
                </c:pt>
                <c:pt idx="2">
                  <c:v>2020</c:v>
                </c:pt>
                <c:pt idx="3">
                  <c:v>2021</c:v>
                </c:pt>
                <c:pt idx="4">
                  <c:v>2022</c:v>
                </c:pt>
              </c:numCache>
            </c:numRef>
          </c:cat>
          <c:val>
            <c:numRef>
              <c:f>'Sherbimi i Borxhit'!$B$69:$G$69</c:f>
              <c:numCache>
                <c:formatCode>0.00%</c:formatCode>
                <c:ptCount val="5"/>
                <c:pt idx="0">
                  <c:v>4.1829999999999999E-2</c:v>
                </c:pt>
                <c:pt idx="1">
                  <c:v>3.8350000000000002E-2</c:v>
                </c:pt>
                <c:pt idx="2">
                  <c:v>3.6500999999999999E-2</c:v>
                </c:pt>
                <c:pt idx="3">
                  <c:v>3.5299999999999998E-2</c:v>
                </c:pt>
                <c:pt idx="4">
                  <c:v>4.0500000000000001E-2</c:v>
                </c:pt>
              </c:numCache>
            </c:numRef>
          </c:val>
          <c:smooth val="0"/>
          <c:extLst>
            <c:ext xmlns:c16="http://schemas.microsoft.com/office/drawing/2014/chart" uri="{C3380CC4-5D6E-409C-BE32-E72D297353CC}">
              <c16:uniqueId val="{00000005-628A-4F00-84D2-8F9079FE73EC}"/>
            </c:ext>
          </c:extLst>
        </c:ser>
        <c:ser>
          <c:idx val="1"/>
          <c:order val="1"/>
          <c:tx>
            <c:strRef>
              <c:f>'Sherbimi i Borxhit'!$A$70</c:f>
              <c:strCache>
                <c:ptCount val="1"/>
                <c:pt idx="0">
                  <c:v>Kosto Mesatare e Borxhit te Jashtem</c:v>
                </c:pt>
              </c:strCache>
            </c:strRef>
          </c:tx>
          <c:spPr>
            <a:ln w="28575" cap="rnd">
              <a:solidFill>
                <a:srgbClr val="C00000"/>
              </a:solidFill>
              <a:round/>
            </a:ln>
            <a:effectLst/>
          </c:spPr>
          <c:marker>
            <c:symbol val="circle"/>
            <c:size val="5"/>
            <c:spPr>
              <a:solidFill>
                <a:srgbClr val="C00000"/>
              </a:solidFill>
              <a:ln w="9525">
                <a:solidFill>
                  <a:schemeClr val="accent2"/>
                </a:solidFill>
              </a:ln>
              <a:effectLst/>
            </c:spPr>
          </c:marker>
          <c:dLbls>
            <c:dLbl>
              <c:idx val="0"/>
              <c:layout>
                <c:manualLayout>
                  <c:x val="-2.56410256410256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8A-4F00-84D2-8F9079FE73EC}"/>
                </c:ext>
              </c:extLst>
            </c:dLbl>
            <c:dLbl>
              <c:idx val="1"/>
              <c:layout>
                <c:manualLayout>
                  <c:x val="-3.2967032967032968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8A-4F00-84D2-8F9079FE73EC}"/>
                </c:ext>
              </c:extLst>
            </c:dLbl>
            <c:dLbl>
              <c:idx val="2"/>
              <c:layout>
                <c:manualLayout>
                  <c:x val="-2.930402930402937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8A-4F00-84D2-8F9079FE73EC}"/>
                </c:ext>
              </c:extLst>
            </c:dLbl>
            <c:dLbl>
              <c:idx val="3"/>
              <c:layout>
                <c:manualLayout>
                  <c:x val="-2.56410256410256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8A-4F00-84D2-8F9079FE73EC}"/>
                </c:ext>
              </c:extLst>
            </c:dLbl>
            <c:dLbl>
              <c:idx val="4"/>
              <c:layout>
                <c:manualLayout>
                  <c:x val="-1.282051282051282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28A-4F00-84D2-8F9079FE73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'Sherbimi i Borxhit'!$B$68:$G$68</c:f>
              <c:numCache>
                <c:formatCode>General</c:formatCode>
                <c:ptCount val="5"/>
                <c:pt idx="0">
                  <c:v>2018</c:v>
                </c:pt>
                <c:pt idx="1">
                  <c:v>2019</c:v>
                </c:pt>
                <c:pt idx="2">
                  <c:v>2020</c:v>
                </c:pt>
                <c:pt idx="3">
                  <c:v>2021</c:v>
                </c:pt>
                <c:pt idx="4">
                  <c:v>2022</c:v>
                </c:pt>
              </c:numCache>
            </c:numRef>
          </c:cat>
          <c:val>
            <c:numRef>
              <c:f>'Sherbimi i Borxhit'!$B$70:$G$70</c:f>
              <c:numCache>
                <c:formatCode>0.00%</c:formatCode>
                <c:ptCount val="5"/>
                <c:pt idx="0">
                  <c:v>2.7053783051352392E-2</c:v>
                </c:pt>
                <c:pt idx="1">
                  <c:v>2.4988173520552447E-2</c:v>
                </c:pt>
                <c:pt idx="2">
                  <c:v>2.3327077404561383E-2</c:v>
                </c:pt>
                <c:pt idx="3">
                  <c:v>2.0702396085557628E-2</c:v>
                </c:pt>
                <c:pt idx="4">
                  <c:v>2.4422685306416701E-2</c:v>
                </c:pt>
              </c:numCache>
            </c:numRef>
          </c:val>
          <c:smooth val="0"/>
          <c:extLst>
            <c:ext xmlns:c16="http://schemas.microsoft.com/office/drawing/2014/chart" uri="{C3380CC4-5D6E-409C-BE32-E72D297353CC}">
              <c16:uniqueId val="{0000000B-628A-4F00-84D2-8F9079FE73EC}"/>
            </c:ext>
          </c:extLst>
        </c:ser>
        <c:dLbls>
          <c:showLegendKey val="0"/>
          <c:showVal val="0"/>
          <c:showCatName val="0"/>
          <c:showSerName val="0"/>
          <c:showPercent val="0"/>
          <c:showBubbleSize val="0"/>
        </c:dLbls>
        <c:marker val="1"/>
        <c:smooth val="0"/>
        <c:axId val="598266416"/>
        <c:axId val="598268592"/>
      </c:lineChart>
      <c:catAx>
        <c:axId val="5982664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68592"/>
        <c:crosses val="autoZero"/>
        <c:auto val="1"/>
        <c:lblAlgn val="ctr"/>
        <c:lblOffset val="100"/>
        <c:noMultiLvlLbl val="0"/>
      </c:catAx>
      <c:valAx>
        <c:axId val="598268592"/>
        <c:scaling>
          <c:orientation val="minMax"/>
          <c:min val="1.0000000000000002E-2"/>
        </c:scaling>
        <c:delete val="0"/>
        <c:axPos val="l"/>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8266416"/>
        <c:crosses val="autoZero"/>
        <c:crossBetween val="between"/>
        <c:maj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j-lt"/>
                <a:ea typeface="+mn-ea"/>
                <a:cs typeface="+mn-cs"/>
              </a:defRPr>
            </a:pPr>
            <a:r>
              <a:rPr lang="en-US" sz="900" b="1">
                <a:solidFill>
                  <a:sysClr val="windowText" lastClr="000000"/>
                </a:solidFill>
                <a:latin typeface="+mj-lt"/>
              </a:rPr>
              <a:t>Koha Mesatare në Maturim</a:t>
            </a:r>
          </a:p>
        </c:rich>
      </c:tx>
      <c:layout>
        <c:manualLayout>
          <c:xMode val="edge"/>
          <c:yMode val="edge"/>
          <c:x val="0.2905394773630175"/>
          <c:y val="3.950718969399103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7.2886482939632541E-2"/>
          <c:y val="0.13816647726643586"/>
          <c:w val="0.87461286089238843"/>
          <c:h val="0.60214859880570937"/>
        </c:manualLayout>
      </c:layout>
      <c:lineChart>
        <c:grouping val="standard"/>
        <c:varyColors val="0"/>
        <c:ser>
          <c:idx val="0"/>
          <c:order val="0"/>
          <c:tx>
            <c:strRef>
              <c:f>'Slide 8 Risqet'!$A$6</c:f>
              <c:strCache>
                <c:ptCount val="1"/>
                <c:pt idx="0">
                  <c:v>KMM</c:v>
                </c:pt>
              </c:strCache>
            </c:strRef>
          </c:tx>
          <c:spPr>
            <a:ln w="25400" cap="rnd">
              <a:solidFill>
                <a:schemeClr val="accent1"/>
              </a:solidFill>
              <a:round/>
            </a:ln>
            <a:effectLst/>
          </c:spPr>
          <c:marker>
            <c:symbol val="diamond"/>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'Slide 8 Risqet'!$B$3:$J$3</c:f>
              <c:strCache>
                <c:ptCount val="5"/>
                <c:pt idx="0">
                  <c:v>2018</c:v>
                </c:pt>
                <c:pt idx="1">
                  <c:v>2019</c:v>
                </c:pt>
                <c:pt idx="2">
                  <c:v>2020</c:v>
                </c:pt>
                <c:pt idx="3">
                  <c:v>2021</c:v>
                </c:pt>
                <c:pt idx="4">
                  <c:v>2022</c:v>
                </c:pt>
              </c:strCache>
              <c:extLst/>
            </c:strRef>
          </c:cat>
          <c:val>
            <c:numRef>
              <c:f>'Slide 8 Risqet'!$B$6:$J$6</c:f>
              <c:numCache>
                <c:formatCode>0.00</c:formatCode>
                <c:ptCount val="5"/>
                <c:pt idx="0">
                  <c:v>2.1740274747397952</c:v>
                </c:pt>
                <c:pt idx="1">
                  <c:v>2.19</c:v>
                </c:pt>
                <c:pt idx="2">
                  <c:v>2.1755038475080224</c:v>
                </c:pt>
                <c:pt idx="3">
                  <c:v>2.202303987469362</c:v>
                </c:pt>
                <c:pt idx="4">
                  <c:v>2.17</c:v>
                </c:pt>
              </c:numCache>
              <c:extLst/>
            </c:numRef>
          </c:val>
          <c:smooth val="1"/>
          <c:extLst>
            <c:ext xmlns:c16="http://schemas.microsoft.com/office/drawing/2014/chart" uri="{C3380CC4-5D6E-409C-BE32-E72D297353CC}">
              <c16:uniqueId val="{00000004-6AA7-44D3-B505-427A0EE2FE13}"/>
            </c:ext>
          </c:extLst>
        </c:ser>
        <c:ser>
          <c:idx val="1"/>
          <c:order val="1"/>
          <c:tx>
            <c:strRef>
              <c:f>'Slide 8 Risqet'!$A$7</c:f>
              <c:strCache>
                <c:ptCount val="1"/>
                <c:pt idx="0">
                  <c:v>Objektivi strategjik 2026</c:v>
                </c:pt>
              </c:strCache>
            </c:strRef>
          </c:tx>
          <c:spPr>
            <a:ln w="25400" cap="rnd">
              <a:solidFill>
                <a:srgbClr val="C00000"/>
              </a:solidFill>
              <a:prstDash val="sysDash"/>
              <a:round/>
            </a:ln>
            <a:effectLst/>
          </c:spPr>
          <c:marker>
            <c:symbol val="diamond"/>
            <c:size val="5"/>
            <c:spPr>
              <a:solidFill>
                <a:srgbClr val="C00000"/>
              </a:solidFill>
              <a:ln w="9525">
                <a:solidFill>
                  <a:schemeClr val="accent2"/>
                </a:solidFill>
              </a:ln>
              <a:effectLst/>
            </c:spPr>
          </c:marker>
          <c:dLbls>
            <c:dLbl>
              <c:idx val="0"/>
              <c:layout>
                <c:manualLayout>
                  <c:x val="0.46908844983334136"/>
                  <c:y val="-8.6972733168767302E-2"/>
                </c:manualLayout>
              </c:layout>
              <c:tx>
                <c:rich>
                  <a:bodyPr/>
                  <a:lstStyle/>
                  <a:p>
                    <a:r>
                      <a:rPr lang="en-US" sz="800" b="1">
                        <a:solidFill>
                          <a:srgbClr val="C00000"/>
                        </a:solidFill>
                      </a:rPr>
                      <a:t>Min 2.5 Vite</a:t>
                    </a:r>
                  </a:p>
                </c:rich>
              </c:tx>
              <c:showLegendKey val="0"/>
              <c:showVal val="1"/>
              <c:showCatName val="0"/>
              <c:showSerName val="0"/>
              <c:showPercent val="0"/>
              <c:showBubbleSize val="0"/>
              <c:extLst>
                <c:ext xmlns:c15="http://schemas.microsoft.com/office/drawing/2012/chart" uri="{CE6537A1-D6FC-4f65-9D91-7224C49458BB}">
                  <c15:layout>
                    <c:manualLayout>
                      <c:w val="0.23775317962555295"/>
                      <c:h val="0.13623551518947699"/>
                    </c:manualLayout>
                  </c15:layout>
                </c:ext>
                <c:ext xmlns:c16="http://schemas.microsoft.com/office/drawing/2014/chart" uri="{C3380CC4-5D6E-409C-BE32-E72D297353CC}">
                  <c16:uniqueId val="{00000005-6AA7-44D3-B505-427A0EE2FE1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j-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'Slide 8 Risqet'!$B$3:$J$3</c:f>
              <c:strCache>
                <c:ptCount val="5"/>
                <c:pt idx="0">
                  <c:v>2018</c:v>
                </c:pt>
                <c:pt idx="1">
                  <c:v>2019</c:v>
                </c:pt>
                <c:pt idx="2">
                  <c:v>2020</c:v>
                </c:pt>
                <c:pt idx="3">
                  <c:v>2021</c:v>
                </c:pt>
                <c:pt idx="4">
                  <c:v>2022</c:v>
                </c:pt>
              </c:strCache>
              <c:extLst/>
            </c:strRef>
          </c:cat>
          <c:val>
            <c:numRef>
              <c:f>'Slide 8 Risqet'!$B$7:$J$7</c:f>
              <c:numCache>
                <c:formatCode>0.00</c:formatCode>
                <c:ptCount val="5"/>
                <c:pt idx="0">
                  <c:v>2.5</c:v>
                </c:pt>
                <c:pt idx="1">
                  <c:v>2.5</c:v>
                </c:pt>
                <c:pt idx="2">
                  <c:v>2.5</c:v>
                </c:pt>
                <c:pt idx="3">
                  <c:v>2.5</c:v>
                </c:pt>
                <c:pt idx="4">
                  <c:v>2.5</c:v>
                </c:pt>
              </c:numCache>
              <c:extLst/>
            </c:numRef>
          </c:val>
          <c:smooth val="0"/>
          <c:extLst>
            <c:ext xmlns:c16="http://schemas.microsoft.com/office/drawing/2014/chart" uri="{C3380CC4-5D6E-409C-BE32-E72D297353CC}">
              <c16:uniqueId val="{00000006-6AA7-44D3-B505-427A0EE2FE13}"/>
            </c:ext>
          </c:extLst>
        </c:ser>
        <c:dLbls>
          <c:showLegendKey val="0"/>
          <c:showVal val="0"/>
          <c:showCatName val="0"/>
          <c:showSerName val="0"/>
          <c:showPercent val="0"/>
          <c:showBubbleSize val="0"/>
        </c:dLbls>
        <c:marker val="1"/>
        <c:smooth val="0"/>
        <c:axId val="598267504"/>
        <c:axId val="598281648"/>
      </c:lineChart>
      <c:catAx>
        <c:axId val="5982675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81648"/>
        <c:crosses val="autoZero"/>
        <c:auto val="1"/>
        <c:lblAlgn val="ctr"/>
        <c:lblOffset val="100"/>
        <c:noMultiLvlLbl val="0"/>
      </c:catAx>
      <c:valAx>
        <c:axId val="598281648"/>
        <c:scaling>
          <c:orientation val="minMax"/>
          <c:min val="1.5"/>
        </c:scaling>
        <c:delete val="0"/>
        <c:axPos val="l"/>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67504"/>
        <c:crosses val="autoZero"/>
        <c:crossBetween val="between"/>
        <c:majorUnit val="0.5"/>
      </c:valAx>
      <c:spPr>
        <a:noFill/>
        <a:ln>
          <a:noFill/>
        </a:ln>
        <a:effectLst/>
      </c:spPr>
    </c:plotArea>
    <c:legend>
      <c:legendPos val="r"/>
      <c:layout>
        <c:manualLayout>
          <c:xMode val="edge"/>
          <c:yMode val="edge"/>
          <c:x val="4.9680484724685496E-2"/>
          <c:y val="0.87229738786770261"/>
          <c:w val="0.85642515544452646"/>
          <c:h val="0.1046193360920494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j-lt"/>
                <a:ea typeface="+mn-ea"/>
                <a:cs typeface="+mn-cs"/>
              </a:defRPr>
            </a:pPr>
            <a:r>
              <a:rPr lang="en-US" sz="900" b="1">
                <a:solidFill>
                  <a:sysClr val="windowText" lastClr="000000"/>
                </a:solidFill>
                <a:latin typeface="+mj-lt"/>
              </a:rPr>
              <a:t>Borxhi që maturohet brenda një viti</a:t>
            </a:r>
          </a:p>
        </c:rich>
      </c:tx>
      <c:layout>
        <c:manualLayout>
          <c:xMode val="edge"/>
          <c:yMode val="edge"/>
          <c:x val="0.21911238367931282"/>
          <c:y val="4.2387506134235579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0.11609487236287083"/>
          <c:y val="0.17720427038877143"/>
          <c:w val="0.83915419947506553"/>
          <c:h val="0.56035318484695185"/>
        </c:manualLayout>
      </c:layout>
      <c:lineChart>
        <c:grouping val="standard"/>
        <c:varyColors val="0"/>
        <c:ser>
          <c:idx val="0"/>
          <c:order val="0"/>
          <c:tx>
            <c:strRef>
              <c:f>'Slide 8 Risqet'!$A$4</c:f>
              <c:strCache>
                <c:ptCount val="1"/>
                <c:pt idx="0">
                  <c:v>Borxhi që maturuhet brenda një viti</c:v>
                </c:pt>
              </c:strCache>
            </c:strRef>
          </c:tx>
          <c:spPr>
            <a:ln w="25400" cap="rnd">
              <a:solidFill>
                <a:schemeClr val="accent1"/>
              </a:solidFill>
              <a:round/>
            </a:ln>
            <a:effectLst/>
          </c:spPr>
          <c:marker>
            <c:symbol val="diamond"/>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j-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'Slide 8 Risqet'!$B$3:$J$3</c:f>
              <c:strCache>
                <c:ptCount val="5"/>
                <c:pt idx="0">
                  <c:v>2018</c:v>
                </c:pt>
                <c:pt idx="1">
                  <c:v>2019</c:v>
                </c:pt>
                <c:pt idx="2">
                  <c:v>2020</c:v>
                </c:pt>
                <c:pt idx="3">
                  <c:v>2021</c:v>
                </c:pt>
                <c:pt idx="4">
                  <c:v>2022</c:v>
                </c:pt>
              </c:strCache>
              <c:extLst/>
            </c:strRef>
          </c:cat>
          <c:val>
            <c:numRef>
              <c:f>'Slide 8 Risqet'!$B$4:$J$4</c:f>
              <c:numCache>
                <c:formatCode>0.0%</c:formatCode>
                <c:ptCount val="5"/>
                <c:pt idx="0" formatCode="0.00%">
                  <c:v>0.49418902417538746</c:v>
                </c:pt>
                <c:pt idx="1">
                  <c:v>0.47710000000000002</c:v>
                </c:pt>
                <c:pt idx="2">
                  <c:v>0.44791045303541993</c:v>
                </c:pt>
                <c:pt idx="3">
                  <c:v>0.46612165752465229</c:v>
                </c:pt>
                <c:pt idx="4">
                  <c:v>0.47920000000000001</c:v>
                </c:pt>
              </c:numCache>
              <c:extLst/>
            </c:numRef>
          </c:val>
          <c:smooth val="1"/>
          <c:extLst>
            <c:ext xmlns:c16="http://schemas.microsoft.com/office/drawing/2014/chart" uri="{C3380CC4-5D6E-409C-BE32-E72D297353CC}">
              <c16:uniqueId val="{00000004-690E-45AD-A25C-F9F3BD050FB3}"/>
            </c:ext>
          </c:extLst>
        </c:ser>
        <c:ser>
          <c:idx val="1"/>
          <c:order val="1"/>
          <c:tx>
            <c:strRef>
              <c:f>'Slide 8 Risqet'!$A$5</c:f>
              <c:strCache>
                <c:ptCount val="1"/>
                <c:pt idx="0">
                  <c:v>Objektivi strategjik 2026</c:v>
                </c:pt>
              </c:strCache>
            </c:strRef>
          </c:tx>
          <c:spPr>
            <a:ln w="25400" cap="sq" cmpd="sng">
              <a:solidFill>
                <a:srgbClr val="C00000"/>
              </a:solidFill>
              <a:prstDash val="sysDash"/>
              <a:round/>
            </a:ln>
            <a:effectLst/>
          </c:spPr>
          <c:marker>
            <c:symbol val="diamond"/>
            <c:size val="4"/>
            <c:spPr>
              <a:solidFill>
                <a:srgbClr val="C00000"/>
              </a:solidFill>
              <a:ln w="9525">
                <a:solidFill>
                  <a:schemeClr val="accent2"/>
                </a:solidFill>
              </a:ln>
              <a:effectLst/>
            </c:spPr>
          </c:marker>
          <c:cat>
            <c:strRef>
              <c:f>'Slide 8 Risqet'!$B$3:$J$3</c:f>
              <c:strCache>
                <c:ptCount val="5"/>
                <c:pt idx="0">
                  <c:v>2018</c:v>
                </c:pt>
                <c:pt idx="1">
                  <c:v>2019</c:v>
                </c:pt>
                <c:pt idx="2">
                  <c:v>2020</c:v>
                </c:pt>
                <c:pt idx="3">
                  <c:v>2021</c:v>
                </c:pt>
                <c:pt idx="4">
                  <c:v>2022</c:v>
                </c:pt>
              </c:strCache>
              <c:extLst/>
            </c:strRef>
          </c:cat>
          <c:val>
            <c:numRef>
              <c:f>'Slide 8 Risqet'!$B$5:$J$5</c:f>
              <c:numCache>
                <c:formatCode>0.0%</c:formatCode>
                <c:ptCount val="5"/>
                <c:pt idx="0">
                  <c:v>0.4</c:v>
                </c:pt>
                <c:pt idx="1">
                  <c:v>0.4</c:v>
                </c:pt>
                <c:pt idx="2">
                  <c:v>0.4</c:v>
                </c:pt>
                <c:pt idx="3">
                  <c:v>0.4</c:v>
                </c:pt>
                <c:pt idx="4">
                  <c:v>0.4</c:v>
                </c:pt>
              </c:numCache>
              <c:extLst/>
            </c:numRef>
          </c:val>
          <c:smooth val="0"/>
          <c:extLst>
            <c:ext xmlns:c16="http://schemas.microsoft.com/office/drawing/2014/chart" uri="{C3380CC4-5D6E-409C-BE32-E72D297353CC}">
              <c16:uniqueId val="{00000006-690E-45AD-A25C-F9F3BD050FB3}"/>
            </c:ext>
          </c:extLst>
        </c:ser>
        <c:dLbls>
          <c:showLegendKey val="0"/>
          <c:showVal val="0"/>
          <c:showCatName val="0"/>
          <c:showSerName val="0"/>
          <c:showPercent val="0"/>
          <c:showBubbleSize val="0"/>
        </c:dLbls>
        <c:marker val="1"/>
        <c:smooth val="0"/>
        <c:axId val="598270224"/>
        <c:axId val="598275664"/>
      </c:lineChart>
      <c:catAx>
        <c:axId val="598270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75664"/>
        <c:crosses val="autoZero"/>
        <c:auto val="1"/>
        <c:lblAlgn val="ctr"/>
        <c:lblOffset val="100"/>
        <c:noMultiLvlLbl val="0"/>
      </c:catAx>
      <c:valAx>
        <c:axId val="598275664"/>
        <c:scaling>
          <c:orientation val="minMax"/>
          <c:min val="0.35000000000000003"/>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70224"/>
        <c:crosses val="autoZero"/>
        <c:crossBetween val="between"/>
        <c:majorUnit val="8.0000000000000016E-2"/>
      </c:valAx>
      <c:spPr>
        <a:noFill/>
        <a:ln>
          <a:noFill/>
        </a:ln>
        <a:effectLst/>
      </c:spPr>
    </c:plotArea>
    <c:legend>
      <c:legendPos val="r"/>
      <c:layout>
        <c:manualLayout>
          <c:xMode val="edge"/>
          <c:yMode val="edge"/>
          <c:x val="0.10624236105839908"/>
          <c:y val="0.83356752344572649"/>
          <c:w val="0.84375740657835829"/>
          <c:h val="0.164309722794202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r>
              <a:rPr lang="en-US" sz="1000" b="1">
                <a:solidFill>
                  <a:sysClr val="windowText" lastClr="000000"/>
                </a:solidFill>
                <a:latin typeface="+mj-lt"/>
              </a:rPr>
              <a:t>Koha Mesatare në Rifiksim</a:t>
            </a:r>
          </a:p>
        </c:rich>
      </c:tx>
      <c:layout>
        <c:manualLayout>
          <c:xMode val="edge"/>
          <c:yMode val="edge"/>
          <c:x val="0.23421148998710928"/>
          <c:y val="6.6523906372471159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8.5553149606299214E-2"/>
          <c:y val="0.14189814814814813"/>
          <c:w val="0.871181539807524"/>
          <c:h val="0.61552049766021233"/>
        </c:manualLayout>
      </c:layout>
      <c:lineChart>
        <c:grouping val="standard"/>
        <c:varyColors val="0"/>
        <c:ser>
          <c:idx val="0"/>
          <c:order val="0"/>
          <c:tx>
            <c:strRef>
              <c:f>'Slide 8 Risqet'!$A$14</c:f>
              <c:strCache>
                <c:ptCount val="1"/>
                <c:pt idx="0">
                  <c:v>KMR</c:v>
                </c:pt>
              </c:strCache>
            </c:strRef>
          </c:tx>
          <c:spPr>
            <a:ln w="25400" cap="rnd">
              <a:solidFill>
                <a:schemeClr val="accent1"/>
              </a:solidFill>
              <a:round/>
            </a:ln>
            <a:effectLst/>
          </c:spPr>
          <c:marker>
            <c:symbol val="diamond"/>
            <c:size val="5"/>
            <c:spPr>
              <a:solidFill>
                <a:schemeClr val="accent1"/>
              </a:solidFill>
              <a:ln w="9525">
                <a:solidFill>
                  <a:schemeClr val="accent1"/>
                </a:solidFill>
              </a:ln>
              <a:effectLst/>
            </c:spPr>
          </c:marker>
          <c:dLbls>
            <c:dLbl>
              <c:idx val="0"/>
              <c:layout>
                <c:manualLayout>
                  <c:x val="-4.4620452769844283E-2"/>
                  <c:y val="-4.3544416102916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43-4734-AE85-4DB977906DD2}"/>
                </c:ext>
              </c:extLst>
            </c:dLbl>
            <c:dLbl>
              <c:idx val="4"/>
              <c:layout>
                <c:manualLayout>
                  <c:x val="-2.5781249999999999E-2"/>
                  <c:y val="-4.4009286664878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8A-4C51-A044-9D852C1D9271}"/>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'Slide 8 Risqet'!$B$11:$J$11</c:f>
              <c:strCache>
                <c:ptCount val="5"/>
                <c:pt idx="0">
                  <c:v>2018</c:v>
                </c:pt>
                <c:pt idx="1">
                  <c:v>2019</c:v>
                </c:pt>
                <c:pt idx="2">
                  <c:v>2020</c:v>
                </c:pt>
                <c:pt idx="3">
                  <c:v>2021</c:v>
                </c:pt>
                <c:pt idx="4">
                  <c:v>2022</c:v>
                </c:pt>
              </c:strCache>
              <c:extLst/>
            </c:strRef>
          </c:cat>
          <c:val>
            <c:numRef>
              <c:f>'Slide 8 Risqet'!$B$14:$J$14</c:f>
              <c:numCache>
                <c:formatCode>0.00</c:formatCode>
                <c:ptCount val="5"/>
                <c:pt idx="0">
                  <c:v>2.0556297124619634</c:v>
                </c:pt>
                <c:pt idx="1">
                  <c:v>2.11</c:v>
                </c:pt>
                <c:pt idx="2">
                  <c:v>2.1409463952245251</c:v>
                </c:pt>
                <c:pt idx="3">
                  <c:v>2.1859657206295577</c:v>
                </c:pt>
                <c:pt idx="4">
                  <c:v>2.17</c:v>
                </c:pt>
              </c:numCache>
              <c:extLst/>
            </c:numRef>
          </c:val>
          <c:smooth val="1"/>
          <c:extLst>
            <c:ext xmlns:c16="http://schemas.microsoft.com/office/drawing/2014/chart" uri="{C3380CC4-5D6E-409C-BE32-E72D297353CC}">
              <c16:uniqueId val="{00000001-9043-4734-AE85-4DB977906DD2}"/>
            </c:ext>
          </c:extLst>
        </c:ser>
        <c:ser>
          <c:idx val="1"/>
          <c:order val="1"/>
          <c:tx>
            <c:strRef>
              <c:f>'Slide 8 Risqet'!$A$15</c:f>
              <c:strCache>
                <c:ptCount val="1"/>
                <c:pt idx="0">
                  <c:v>Objektivi strategjik 2026</c:v>
                </c:pt>
              </c:strCache>
            </c:strRef>
          </c:tx>
          <c:spPr>
            <a:ln w="25400" cap="rnd">
              <a:solidFill>
                <a:srgbClr val="C00000"/>
              </a:solidFill>
              <a:prstDash val="sysDash"/>
              <a:round/>
            </a:ln>
            <a:effectLst/>
          </c:spPr>
          <c:marker>
            <c:symbol val="diamond"/>
            <c:size val="4"/>
            <c:spPr>
              <a:solidFill>
                <a:srgbClr val="C00000"/>
              </a:solidFill>
              <a:ln w="9525">
                <a:solidFill>
                  <a:schemeClr val="accent2"/>
                </a:solidFill>
              </a:ln>
              <a:effectLst/>
            </c:spPr>
          </c:marker>
          <c:dLbls>
            <c:dLbl>
              <c:idx val="0"/>
              <c:layout>
                <c:manualLayout>
                  <c:x val="0.47199495685934884"/>
                  <c:y val="-5.3701161020352883E-2"/>
                </c:manualLayout>
              </c:layout>
              <c:tx>
                <c:rich>
                  <a:bodyPr rot="0" spcFirstLastPara="1" vertOverflow="ellipsis" vert="horz" wrap="square" lIns="38100" tIns="19050" rIns="38100" bIns="19050" anchor="ctr" anchorCtr="1">
                    <a:noAutofit/>
                  </a:bodyPr>
                  <a:lstStyle/>
                  <a:p>
                    <a:pPr>
                      <a:defRPr sz="900" b="1" i="0" u="none" strike="noStrike" kern="1200" baseline="0">
                        <a:solidFill>
                          <a:srgbClr val="C00000"/>
                        </a:solidFill>
                        <a:latin typeface="+mn-lt"/>
                        <a:ea typeface="+mn-ea"/>
                        <a:cs typeface="+mn-cs"/>
                      </a:defRPr>
                    </a:pPr>
                    <a:r>
                      <a:rPr lang="en-US" b="1">
                        <a:solidFill>
                          <a:srgbClr val="C00000"/>
                        </a:solidFill>
                      </a:rPr>
                      <a:t>Min </a:t>
                    </a:r>
                    <a:r>
                      <a:rPr lang="en-US" b="1" baseline="0">
                        <a:solidFill>
                          <a:srgbClr val="C00000"/>
                        </a:solidFill>
                      </a:rPr>
                      <a:t> </a:t>
                    </a:r>
                    <a:r>
                      <a:rPr lang="en-US" b="1">
                        <a:solidFill>
                          <a:srgbClr val="C00000"/>
                        </a:solidFill>
                      </a:rPr>
                      <a:t>2.5 vite</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1674965002394417"/>
                      <c:h val="8.3493234932349322E-2"/>
                    </c:manualLayout>
                  </c15:layout>
                </c:ext>
                <c:ext xmlns:c16="http://schemas.microsoft.com/office/drawing/2014/chart" uri="{C3380CC4-5D6E-409C-BE32-E72D297353CC}">
                  <c16:uniqueId val="{00000002-9043-4734-AE85-4DB977906D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'Slide 8 Risqet'!$B$11:$J$11</c:f>
              <c:strCache>
                <c:ptCount val="5"/>
                <c:pt idx="0">
                  <c:v>2018</c:v>
                </c:pt>
                <c:pt idx="1">
                  <c:v>2019</c:v>
                </c:pt>
                <c:pt idx="2">
                  <c:v>2020</c:v>
                </c:pt>
                <c:pt idx="3">
                  <c:v>2021</c:v>
                </c:pt>
                <c:pt idx="4">
                  <c:v>2022</c:v>
                </c:pt>
              </c:strCache>
              <c:extLst/>
            </c:strRef>
          </c:cat>
          <c:val>
            <c:numRef>
              <c:f>'Slide 8 Risqet'!$B$15:$J$15</c:f>
              <c:numCache>
                <c:formatCode>0.00</c:formatCode>
                <c:ptCount val="5"/>
                <c:pt idx="0">
                  <c:v>2.5</c:v>
                </c:pt>
                <c:pt idx="1">
                  <c:v>2.5</c:v>
                </c:pt>
                <c:pt idx="2">
                  <c:v>2.5</c:v>
                </c:pt>
                <c:pt idx="3">
                  <c:v>2.5</c:v>
                </c:pt>
                <c:pt idx="4">
                  <c:v>2.5</c:v>
                </c:pt>
              </c:numCache>
              <c:extLst/>
            </c:numRef>
          </c:val>
          <c:smooth val="0"/>
          <c:extLst>
            <c:ext xmlns:c16="http://schemas.microsoft.com/office/drawing/2014/chart" uri="{C3380CC4-5D6E-409C-BE32-E72D297353CC}">
              <c16:uniqueId val="{00000004-9043-4734-AE85-4DB977906DD2}"/>
            </c:ext>
          </c:extLst>
        </c:ser>
        <c:dLbls>
          <c:showLegendKey val="0"/>
          <c:showVal val="0"/>
          <c:showCatName val="0"/>
          <c:showSerName val="0"/>
          <c:showPercent val="0"/>
          <c:showBubbleSize val="0"/>
        </c:dLbls>
        <c:marker val="1"/>
        <c:smooth val="0"/>
        <c:axId val="598276208"/>
        <c:axId val="598281104"/>
      </c:lineChart>
      <c:catAx>
        <c:axId val="5982762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81104"/>
        <c:crosses val="autoZero"/>
        <c:auto val="1"/>
        <c:lblAlgn val="ctr"/>
        <c:lblOffset val="100"/>
        <c:noMultiLvlLbl val="0"/>
      </c:catAx>
      <c:valAx>
        <c:axId val="598281104"/>
        <c:scaling>
          <c:orientation val="minMax"/>
          <c:min val="1.5"/>
        </c:scaling>
        <c:delete val="0"/>
        <c:axPos val="l"/>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76208"/>
        <c:crosses val="autoZero"/>
        <c:crossBetween val="between"/>
        <c:majorUnit val="0.5"/>
      </c:valAx>
      <c:spPr>
        <a:noFill/>
        <a:ln>
          <a:noFill/>
        </a:ln>
        <a:effectLst/>
      </c:spPr>
    </c:plotArea>
    <c:legend>
      <c:legendPos val="r"/>
      <c:layout>
        <c:manualLayout>
          <c:xMode val="edge"/>
          <c:yMode val="edge"/>
          <c:x val="3.0404374635652306E-2"/>
          <c:y val="0.85544353219192792"/>
          <c:w val="0.92147627531959964"/>
          <c:h val="0.1097210001774689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r>
              <a:rPr lang="en-US" sz="1000" b="1">
                <a:solidFill>
                  <a:sysClr val="windowText" lastClr="000000"/>
                </a:solidFill>
                <a:latin typeface="+mj-lt"/>
              </a:rPr>
              <a:t>Borxhi që rifiksohet brenda një viti</a:t>
            </a:r>
          </a:p>
        </c:rich>
      </c:tx>
      <c:layout>
        <c:manualLayout>
          <c:xMode val="edge"/>
          <c:yMode val="edge"/>
          <c:x val="0.18573876285266325"/>
          <c:y val="3.8972051570476778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0.10594206231615198"/>
          <c:y val="0.15184208083314343"/>
          <c:w val="0.87251160144905826"/>
          <c:h val="0.59012566868055516"/>
        </c:manualLayout>
      </c:layout>
      <c:lineChart>
        <c:grouping val="standard"/>
        <c:varyColors val="0"/>
        <c:ser>
          <c:idx val="0"/>
          <c:order val="0"/>
          <c:tx>
            <c:strRef>
              <c:f>'Slide 8 Risqet'!$A$12</c:f>
              <c:strCache>
                <c:ptCount val="1"/>
                <c:pt idx="0">
                  <c:v>Borxhi që rifiksohet brenda një viti</c:v>
                </c:pt>
              </c:strCache>
            </c:strRef>
          </c:tx>
          <c:spPr>
            <a:ln w="25400" cap="rnd">
              <a:solidFill>
                <a:schemeClr val="accent1"/>
              </a:solidFill>
              <a:round/>
            </a:ln>
            <a:effectLst/>
          </c:spPr>
          <c:marker>
            <c:symbol val="diamond"/>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j-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'Slide 8 Risqet'!$B$11:$J$11</c:f>
              <c:strCache>
                <c:ptCount val="5"/>
                <c:pt idx="0">
                  <c:v>2018</c:v>
                </c:pt>
                <c:pt idx="1">
                  <c:v>2019</c:v>
                </c:pt>
                <c:pt idx="2">
                  <c:v>2020</c:v>
                </c:pt>
                <c:pt idx="3">
                  <c:v>2021</c:v>
                </c:pt>
                <c:pt idx="4">
                  <c:v>2022</c:v>
                </c:pt>
              </c:strCache>
              <c:extLst/>
            </c:strRef>
          </c:cat>
          <c:val>
            <c:numRef>
              <c:f>'Slide 8 Risqet'!$B$12:$J$12</c:f>
              <c:numCache>
                <c:formatCode>0.0%</c:formatCode>
                <c:ptCount val="5"/>
                <c:pt idx="0">
                  <c:v>0.54329850433666915</c:v>
                </c:pt>
                <c:pt idx="1">
                  <c:v>0.50870000000000004</c:v>
                </c:pt>
                <c:pt idx="2">
                  <c:v>0.46673633543395576</c:v>
                </c:pt>
                <c:pt idx="3">
                  <c:v>0.48003455483987029</c:v>
                </c:pt>
                <c:pt idx="4">
                  <c:v>0.49</c:v>
                </c:pt>
              </c:numCache>
              <c:extLst/>
            </c:numRef>
          </c:val>
          <c:smooth val="1"/>
          <c:extLst>
            <c:ext xmlns:c16="http://schemas.microsoft.com/office/drawing/2014/chart" uri="{C3380CC4-5D6E-409C-BE32-E72D297353CC}">
              <c16:uniqueId val="{00000003-F2CD-48EE-BA12-B9E4DA04A398}"/>
            </c:ext>
          </c:extLst>
        </c:ser>
        <c:ser>
          <c:idx val="1"/>
          <c:order val="1"/>
          <c:tx>
            <c:strRef>
              <c:f>'Slide 8 Risqet'!$A$13</c:f>
              <c:strCache>
                <c:ptCount val="1"/>
                <c:pt idx="0">
                  <c:v>Objektivi strategjik 2026</c:v>
                </c:pt>
              </c:strCache>
            </c:strRef>
          </c:tx>
          <c:spPr>
            <a:ln w="28575" cap="rnd">
              <a:solidFill>
                <a:srgbClr val="C00000"/>
              </a:solidFill>
              <a:prstDash val="sysDash"/>
              <a:round/>
            </a:ln>
            <a:effectLst/>
          </c:spPr>
          <c:marker>
            <c:symbol val="diamond"/>
            <c:size val="4"/>
            <c:spPr>
              <a:solidFill>
                <a:srgbClr val="C00000"/>
              </a:solidFill>
              <a:ln w="25400">
                <a:solidFill>
                  <a:schemeClr val="accent2"/>
                </a:solidFill>
                <a:prstDash val="sysDash"/>
              </a:ln>
              <a:effectLst/>
            </c:spPr>
          </c:marker>
          <c:dLbls>
            <c:dLbl>
              <c:idx val="0"/>
              <c:layout>
                <c:manualLayout>
                  <c:x val="0.3215083333847169"/>
                  <c:y val="3.7249792174554694E-2"/>
                </c:manualLayout>
              </c:layout>
              <c:tx>
                <c:rich>
                  <a:bodyPr rot="0" spcFirstLastPara="1" vertOverflow="ellipsis" vert="horz" wrap="square" lIns="38100" tIns="19050" rIns="38100" bIns="19050" anchor="ctr" anchorCtr="1">
                    <a:noAutofit/>
                  </a:bodyPr>
                  <a:lstStyle/>
                  <a:p>
                    <a:pPr>
                      <a:defRPr sz="900" b="1" i="0" u="none" strike="noStrike" kern="1200" baseline="0">
                        <a:solidFill>
                          <a:srgbClr val="C00000"/>
                        </a:solidFill>
                        <a:latin typeface="+mj-lt"/>
                        <a:ea typeface="+mn-ea"/>
                        <a:cs typeface="+mn-cs"/>
                      </a:defRPr>
                    </a:pPr>
                    <a:r>
                      <a:rPr lang="en-US"/>
                      <a:t>Max 43%</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C00000"/>
                      </a:solidFill>
                      <a:latin typeface="+mj-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018347011635292"/>
                      <c:h val="8.7463035092143732E-2"/>
                    </c:manualLayout>
                  </c15:layout>
                </c:ext>
                <c:ext xmlns:c16="http://schemas.microsoft.com/office/drawing/2014/chart" uri="{C3380CC4-5D6E-409C-BE32-E72D297353CC}">
                  <c16:uniqueId val="{00000004-F2CD-48EE-BA12-B9E4DA04A3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j-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'Slide 8 Risqet'!$B$11:$J$11</c:f>
              <c:strCache>
                <c:ptCount val="5"/>
                <c:pt idx="0">
                  <c:v>2018</c:v>
                </c:pt>
                <c:pt idx="1">
                  <c:v>2019</c:v>
                </c:pt>
                <c:pt idx="2">
                  <c:v>2020</c:v>
                </c:pt>
                <c:pt idx="3">
                  <c:v>2021</c:v>
                </c:pt>
                <c:pt idx="4">
                  <c:v>2022</c:v>
                </c:pt>
              </c:strCache>
              <c:extLst/>
            </c:strRef>
          </c:cat>
          <c:val>
            <c:numRef>
              <c:f>'Slide 8 Risqet'!$B$13:$J$13</c:f>
              <c:numCache>
                <c:formatCode>0.0%</c:formatCode>
                <c:ptCount val="5"/>
                <c:pt idx="0">
                  <c:v>0.43</c:v>
                </c:pt>
                <c:pt idx="1">
                  <c:v>0.43</c:v>
                </c:pt>
                <c:pt idx="2">
                  <c:v>0.43</c:v>
                </c:pt>
                <c:pt idx="3">
                  <c:v>0.43</c:v>
                </c:pt>
                <c:pt idx="4">
                  <c:v>0.43</c:v>
                </c:pt>
              </c:numCache>
              <c:extLst/>
            </c:numRef>
          </c:val>
          <c:smooth val="0"/>
          <c:extLst>
            <c:ext xmlns:c16="http://schemas.microsoft.com/office/drawing/2014/chart" uri="{C3380CC4-5D6E-409C-BE32-E72D297353CC}">
              <c16:uniqueId val="{00000005-F2CD-48EE-BA12-B9E4DA04A398}"/>
            </c:ext>
          </c:extLst>
        </c:ser>
        <c:dLbls>
          <c:showLegendKey val="0"/>
          <c:showVal val="0"/>
          <c:showCatName val="0"/>
          <c:showSerName val="0"/>
          <c:showPercent val="0"/>
          <c:showBubbleSize val="0"/>
        </c:dLbls>
        <c:marker val="1"/>
        <c:smooth val="0"/>
        <c:axId val="598286000"/>
        <c:axId val="598257168"/>
      </c:lineChart>
      <c:catAx>
        <c:axId val="598286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57168"/>
        <c:crosses val="autoZero"/>
        <c:auto val="1"/>
        <c:lblAlgn val="ctr"/>
        <c:lblOffset val="100"/>
        <c:noMultiLvlLbl val="0"/>
      </c:catAx>
      <c:valAx>
        <c:axId val="598257168"/>
        <c:scaling>
          <c:orientation val="minMax"/>
          <c:max val="0.60000000000000009"/>
          <c:min val="0.35000000000000003"/>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98286000"/>
        <c:crosses val="autoZero"/>
        <c:crossBetween val="between"/>
        <c:majorUnit val="8.0000000000000016E-2"/>
      </c:valAx>
      <c:spPr>
        <a:noFill/>
        <a:ln>
          <a:noFill/>
        </a:ln>
        <a:effectLst/>
      </c:spPr>
    </c:plotArea>
    <c:legend>
      <c:legendPos val="r"/>
      <c:layout>
        <c:manualLayout>
          <c:xMode val="edge"/>
          <c:yMode val="edge"/>
          <c:x val="6.2399625789350604E-3"/>
          <c:y val="0.84531249204709125"/>
          <c:w val="0.98755784239841304"/>
          <c:h val="0.1546875079529086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782713415803E-2"/>
          <c:y val="6.4081028337287113E-2"/>
          <c:w val="0.93283994610162779"/>
          <c:h val="0.66313706543862172"/>
        </c:manualLayout>
      </c:layout>
      <c:barChart>
        <c:barDir val="col"/>
        <c:grouping val="clustered"/>
        <c:varyColors val="0"/>
        <c:ser>
          <c:idx val="0"/>
          <c:order val="0"/>
          <c:tx>
            <c:strRef>
              <c:f>'Kompozimi '!$A$15</c:f>
              <c:strCache>
                <c:ptCount val="1"/>
                <c:pt idx="0">
                  <c:v>Instrumente të tregtueshme</c:v>
                </c:pt>
              </c:strCache>
            </c:strRef>
          </c:tx>
          <c:spPr>
            <a:solidFill>
              <a:schemeClr val="tx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'!$B$14:$H$14</c:f>
              <c:strCache>
                <c:ptCount val="5"/>
                <c:pt idx="0">
                  <c:v>2018</c:v>
                </c:pt>
                <c:pt idx="1">
                  <c:v>2019</c:v>
                </c:pt>
                <c:pt idx="2">
                  <c:v>2020</c:v>
                </c:pt>
                <c:pt idx="3">
                  <c:v>2021</c:v>
                </c:pt>
                <c:pt idx="4">
                  <c:v>2022</c:v>
                </c:pt>
              </c:strCache>
            </c:strRef>
          </c:cat>
          <c:val>
            <c:numRef>
              <c:f>'Kompozimi '!$B$15:$H$15</c:f>
              <c:numCache>
                <c:formatCode>0.0%</c:formatCode>
                <c:ptCount val="5"/>
                <c:pt idx="0">
                  <c:v>0.59393725096082528</c:v>
                </c:pt>
                <c:pt idx="1">
                  <c:v>0.60529165257516837</c:v>
                </c:pt>
                <c:pt idx="2">
                  <c:v>0.63133104435117737</c:v>
                </c:pt>
                <c:pt idx="3">
                  <c:v>0.64805818070722654</c:v>
                </c:pt>
                <c:pt idx="4">
                  <c:v>0.66471100575284381</c:v>
                </c:pt>
              </c:numCache>
            </c:numRef>
          </c:val>
          <c:extLst>
            <c:ext xmlns:c16="http://schemas.microsoft.com/office/drawing/2014/chart" uri="{C3380CC4-5D6E-409C-BE32-E72D297353CC}">
              <c16:uniqueId val="{00000000-FCF0-4C62-87B5-6EDA0D3CB8A5}"/>
            </c:ext>
          </c:extLst>
        </c:ser>
        <c:ser>
          <c:idx val="1"/>
          <c:order val="1"/>
          <c:tx>
            <c:strRef>
              <c:f>'Kompozimi '!$A$16</c:f>
              <c:strCache>
                <c:ptCount val="1"/>
                <c:pt idx="0">
                  <c:v>Hua për financim projektesh</c:v>
                </c:pt>
              </c:strCache>
            </c:strRef>
          </c:tx>
          <c:spPr>
            <a:solidFill>
              <a:schemeClr val="tx2">
                <a:lumMod val="60000"/>
                <a:lumOff val="40000"/>
              </a:schemeClr>
            </a:solidFill>
            <a:ln>
              <a:noFill/>
            </a:ln>
            <a:effectLst/>
          </c:spPr>
          <c:invertIfNegative val="0"/>
          <c:dLbls>
            <c:dLbl>
              <c:idx val="0"/>
              <c:layout>
                <c:manualLayout>
                  <c:x val="8.0838500765100104E-4"/>
                  <c:y val="1.6096656437586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F0-4C62-87B5-6EDA0D3CB8A5}"/>
                </c:ext>
              </c:extLst>
            </c:dLbl>
            <c:dLbl>
              <c:idx val="1"/>
              <c:layout>
                <c:manualLayout>
                  <c:x val="1.61030595813204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F0-4C62-87B5-6EDA0D3CB8A5}"/>
                </c:ext>
              </c:extLst>
            </c:dLbl>
            <c:dLbl>
              <c:idx val="2"/>
              <c:layout>
                <c:manualLayout>
                  <c:x val="-9.6230999013569517E-4"/>
                  <c:y val="5.3656849565589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F0-4C62-87B5-6EDA0D3CB8A5}"/>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'!$B$14:$H$14</c:f>
              <c:strCache>
                <c:ptCount val="5"/>
                <c:pt idx="0">
                  <c:v>2018</c:v>
                </c:pt>
                <c:pt idx="1">
                  <c:v>2019</c:v>
                </c:pt>
                <c:pt idx="2">
                  <c:v>2020</c:v>
                </c:pt>
                <c:pt idx="3">
                  <c:v>2021</c:v>
                </c:pt>
                <c:pt idx="4">
                  <c:v>2022</c:v>
                </c:pt>
              </c:strCache>
            </c:strRef>
          </c:cat>
          <c:val>
            <c:numRef>
              <c:f>'Kompozimi '!$B$16:$H$16</c:f>
              <c:numCache>
                <c:formatCode>0.0%</c:formatCode>
                <c:ptCount val="5"/>
                <c:pt idx="0">
                  <c:v>0.24189824286216288</c:v>
                </c:pt>
                <c:pt idx="1">
                  <c:v>0.23866667740425257</c:v>
                </c:pt>
                <c:pt idx="2">
                  <c:v>0.20956487629772294</c:v>
                </c:pt>
                <c:pt idx="3">
                  <c:v>0.18397735760264428</c:v>
                </c:pt>
                <c:pt idx="4">
                  <c:v>0.16940099055668073</c:v>
                </c:pt>
              </c:numCache>
            </c:numRef>
          </c:val>
          <c:extLst>
            <c:ext xmlns:c16="http://schemas.microsoft.com/office/drawing/2014/chart" uri="{C3380CC4-5D6E-409C-BE32-E72D297353CC}">
              <c16:uniqueId val="{00000006-FCF0-4C62-87B5-6EDA0D3CB8A5}"/>
            </c:ext>
          </c:extLst>
        </c:ser>
        <c:ser>
          <c:idx val="2"/>
          <c:order val="2"/>
          <c:tx>
            <c:strRef>
              <c:f>'Kompozimi '!$A$17</c:f>
              <c:strCache>
                <c:ptCount val="1"/>
                <c:pt idx="0">
                  <c:v>Mbështetje Buxhetore</c:v>
                </c:pt>
              </c:strCache>
            </c:strRef>
          </c:tx>
          <c:spPr>
            <a:solidFill>
              <a:schemeClr val="accent1">
                <a:lumMod val="40000"/>
                <a:lumOff val="60000"/>
              </a:schemeClr>
            </a:solidFill>
            <a:ln>
              <a:noFill/>
            </a:ln>
            <a:effectLst/>
          </c:spPr>
          <c:invertIfNegative val="0"/>
          <c:dLbls>
            <c:dLbl>
              <c:idx val="0"/>
              <c:layout>
                <c:manualLayout>
                  <c:x val="-3.7017285189949517E-3"/>
                  <c:y val="1.6096656437586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F0-4C62-87B5-6EDA0D3CB8A5}"/>
                </c:ext>
              </c:extLst>
            </c:dLbl>
            <c:dLbl>
              <c:idx val="1"/>
              <c:layout>
                <c:manualLayout>
                  <c:x val="-2.0915114694328549E-3"/>
                  <c:y val="1.5180262630496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CF0-4C62-87B5-6EDA0D3CB8A5}"/>
                </c:ext>
              </c:extLst>
            </c:dLbl>
            <c:dLbl>
              <c:idx val="2"/>
              <c:layout>
                <c:manualLayout>
                  <c:x val="-3.5413899955732625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CF0-4C62-87B5-6EDA0D3CB8A5}"/>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'!$B$14:$H$14</c:f>
              <c:strCache>
                <c:ptCount val="5"/>
                <c:pt idx="0">
                  <c:v>2018</c:v>
                </c:pt>
                <c:pt idx="1">
                  <c:v>2019</c:v>
                </c:pt>
                <c:pt idx="2">
                  <c:v>2020</c:v>
                </c:pt>
                <c:pt idx="3">
                  <c:v>2021</c:v>
                </c:pt>
                <c:pt idx="4">
                  <c:v>2022</c:v>
                </c:pt>
              </c:strCache>
            </c:strRef>
          </c:cat>
          <c:val>
            <c:numRef>
              <c:f>'Kompozimi '!$B$17:$H$17</c:f>
              <c:numCache>
                <c:formatCode>0.0%</c:formatCode>
                <c:ptCount val="5"/>
                <c:pt idx="0">
                  <c:v>0.12317435935527354</c:v>
                </c:pt>
                <c:pt idx="1">
                  <c:v>0.11790275073876494</c:v>
                </c:pt>
                <c:pt idx="2">
                  <c:v>0.11888682981028301</c:v>
                </c:pt>
                <c:pt idx="3">
                  <c:v>0.12804260568717921</c:v>
                </c:pt>
                <c:pt idx="4">
                  <c:v>0.12770797120091992</c:v>
                </c:pt>
              </c:numCache>
            </c:numRef>
          </c:val>
          <c:extLst>
            <c:ext xmlns:c16="http://schemas.microsoft.com/office/drawing/2014/chart" uri="{C3380CC4-5D6E-409C-BE32-E72D297353CC}">
              <c16:uniqueId val="{0000000C-FCF0-4C62-87B5-6EDA0D3CB8A5}"/>
            </c:ext>
          </c:extLst>
        </c:ser>
        <c:ser>
          <c:idx val="3"/>
          <c:order val="3"/>
          <c:tx>
            <c:strRef>
              <c:f>'Kompozimi '!$A$18</c:f>
              <c:strCache>
                <c:ptCount val="1"/>
                <c:pt idx="0">
                  <c:v>Garanci</c:v>
                </c:pt>
              </c:strCache>
            </c:strRef>
          </c:tx>
          <c:spPr>
            <a:solidFill>
              <a:schemeClr val="bg1">
                <a:lumMod val="50000"/>
              </a:schemeClr>
            </a:solidFill>
            <a:ln>
              <a:noFill/>
            </a:ln>
            <a:effectLst/>
          </c:spPr>
          <c:invertIfNegative val="0"/>
          <c:dLbls>
            <c:dLbl>
              <c:idx val="0"/>
              <c:layout>
                <c:manualLayout>
                  <c:x val="-2.251849992854479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F0-4C62-87B5-6EDA0D3CB8A5}"/>
                </c:ext>
              </c:extLst>
            </c:dLbl>
            <c:dLbl>
              <c:idx val="1"/>
              <c:layout>
                <c:manualLayout>
                  <c:x val="-3.2081647164622351E-4"/>
                  <c:y val="5.3656849565589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CF0-4C62-87B5-6EDA0D3CB8A5}"/>
                </c:ext>
              </c:extLst>
            </c:dLbl>
            <c:dLbl>
              <c:idx val="2"/>
              <c:layout>
                <c:manualLayout>
                  <c:x val="-2.2518499928546086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CF0-4C62-87B5-6EDA0D3CB8A5}"/>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'!$B$14:$H$14</c:f>
              <c:strCache>
                <c:ptCount val="5"/>
                <c:pt idx="0">
                  <c:v>2018</c:v>
                </c:pt>
                <c:pt idx="1">
                  <c:v>2019</c:v>
                </c:pt>
                <c:pt idx="2">
                  <c:v>2020</c:v>
                </c:pt>
                <c:pt idx="3">
                  <c:v>2021</c:v>
                </c:pt>
                <c:pt idx="4">
                  <c:v>2022</c:v>
                </c:pt>
              </c:strCache>
            </c:strRef>
          </c:cat>
          <c:val>
            <c:numRef>
              <c:f>'Kompozimi '!$B$18:$H$18</c:f>
              <c:numCache>
                <c:formatCode>0.0%</c:formatCode>
                <c:ptCount val="5"/>
                <c:pt idx="0">
                  <c:v>4.0343808592169413E-2</c:v>
                </c:pt>
                <c:pt idx="1">
                  <c:v>3.7616237570367694E-2</c:v>
                </c:pt>
                <c:pt idx="2">
                  <c:v>3.9864341767142569E-2</c:v>
                </c:pt>
                <c:pt idx="3">
                  <c:v>3.9694175396192445E-2</c:v>
                </c:pt>
                <c:pt idx="4">
                  <c:v>3.8033144113002522E-2</c:v>
                </c:pt>
              </c:numCache>
            </c:numRef>
          </c:val>
          <c:extLst>
            <c:ext xmlns:c16="http://schemas.microsoft.com/office/drawing/2014/chart" uri="{C3380CC4-5D6E-409C-BE32-E72D297353CC}">
              <c16:uniqueId val="{00000012-FCF0-4C62-87B5-6EDA0D3CB8A5}"/>
            </c:ext>
          </c:extLst>
        </c:ser>
        <c:ser>
          <c:idx val="4"/>
          <c:order val="4"/>
          <c:tx>
            <c:strRef>
              <c:f>'Kompozimi '!$A$19</c:f>
              <c:strCache>
                <c:ptCount val="1"/>
                <c:pt idx="0">
                  <c:v>Borxhi i Pushtetit Lokal</c:v>
                </c:pt>
              </c:strCache>
            </c:strRef>
          </c:tx>
          <c:spPr>
            <a:solidFill>
              <a:schemeClr val="accent6">
                <a:lumMod val="75000"/>
              </a:schemeClr>
            </a:solidFill>
            <a:ln>
              <a:noFill/>
            </a:ln>
            <a:effectLst/>
          </c:spPr>
          <c:invertIfNegative val="0"/>
          <c:dLbls>
            <c:dLbl>
              <c:idx val="0"/>
              <c:layout>
                <c:manualLayout>
                  <c:x val="2.9336270348283896E-3"/>
                  <c:y val="9.40070157361822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CF0-4C62-87B5-6EDA0D3CB8A5}"/>
                </c:ext>
              </c:extLst>
            </c:dLbl>
            <c:dLbl>
              <c:idx val="1"/>
              <c:layout>
                <c:manualLayout>
                  <c:x val="0"/>
                  <c:y val="6.26713438241215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CF0-4C62-87B5-6EDA0D3CB8A5}"/>
                </c:ext>
              </c:extLst>
            </c:dLbl>
            <c:dLbl>
              <c:idx val="2"/>
              <c:layout>
                <c:manualLayout>
                  <c:x val="0"/>
                  <c:y val="9.40070157361822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CF0-4C62-87B5-6EDA0D3CB8A5}"/>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'!$B$14:$H$14</c:f>
              <c:strCache>
                <c:ptCount val="5"/>
                <c:pt idx="0">
                  <c:v>2018</c:v>
                </c:pt>
                <c:pt idx="1">
                  <c:v>2019</c:v>
                </c:pt>
                <c:pt idx="2">
                  <c:v>2020</c:v>
                </c:pt>
                <c:pt idx="3">
                  <c:v>2021</c:v>
                </c:pt>
                <c:pt idx="4">
                  <c:v>2022</c:v>
                </c:pt>
              </c:strCache>
            </c:strRef>
          </c:cat>
          <c:val>
            <c:numRef>
              <c:f>'Kompozimi '!$B$19:$H$19</c:f>
              <c:numCache>
                <c:formatCode>0.0%</c:formatCode>
                <c:ptCount val="5"/>
                <c:pt idx="0">
                  <c:v>6.4633822956899542E-4</c:v>
                </c:pt>
                <c:pt idx="1">
                  <c:v>5.2268171144648288E-4</c:v>
                </c:pt>
                <c:pt idx="2">
                  <c:v>3.5290777367405458E-4</c:v>
                </c:pt>
                <c:pt idx="3">
                  <c:v>2.2768060675753567E-4</c:v>
                </c:pt>
                <c:pt idx="4">
                  <c:v>1.4688837655303929E-4</c:v>
                </c:pt>
              </c:numCache>
            </c:numRef>
          </c:val>
          <c:extLst>
            <c:ext xmlns:c16="http://schemas.microsoft.com/office/drawing/2014/chart" uri="{C3380CC4-5D6E-409C-BE32-E72D297353CC}">
              <c16:uniqueId val="{00000018-FCF0-4C62-87B5-6EDA0D3CB8A5}"/>
            </c:ext>
          </c:extLst>
        </c:ser>
        <c:dLbls>
          <c:showLegendKey val="0"/>
          <c:showVal val="0"/>
          <c:showCatName val="0"/>
          <c:showSerName val="0"/>
          <c:showPercent val="0"/>
          <c:showBubbleSize val="0"/>
        </c:dLbls>
        <c:gapWidth val="118"/>
        <c:axId val="668409968"/>
        <c:axId val="668421392"/>
      </c:barChart>
      <c:catAx>
        <c:axId val="6684099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1392"/>
        <c:crosses val="autoZero"/>
        <c:auto val="1"/>
        <c:lblAlgn val="ctr"/>
        <c:lblOffset val="100"/>
        <c:noMultiLvlLbl val="0"/>
      </c:catAx>
      <c:valAx>
        <c:axId val="668421392"/>
        <c:scaling>
          <c:orientation val="minMax"/>
          <c:max val="0.8"/>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09968"/>
        <c:crosses val="autoZero"/>
        <c:crossBetween val="between"/>
        <c:majorUnit val="0.2"/>
      </c:valAx>
      <c:spPr>
        <a:noFill/>
        <a:ln>
          <a:noFill/>
        </a:ln>
        <a:effectLst/>
      </c:spPr>
    </c:plotArea>
    <c:legend>
      <c:legendPos val="b"/>
      <c:layout>
        <c:manualLayout>
          <c:xMode val="edge"/>
          <c:yMode val="edge"/>
          <c:x val="1.9868766404199479E-2"/>
          <c:y val="0.83972214798215494"/>
          <c:w val="0.97607105484363477"/>
          <c:h val="0.142834234493534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087760874550872E-2"/>
          <c:y val="8.327024981074943E-2"/>
          <c:w val="0.90864039446525491"/>
          <c:h val="0.5575434978273438"/>
        </c:manualLayout>
      </c:layout>
      <c:lineChart>
        <c:grouping val="standard"/>
        <c:varyColors val="0"/>
        <c:ser>
          <c:idx val="0"/>
          <c:order val="0"/>
          <c:tx>
            <c:strRef>
              <c:f>'Slide 8 Risqet'!$A$20</c:f>
              <c:strCache>
                <c:ptCount val="1"/>
                <c:pt idx="0">
                  <c:v>Borxhi në monedhë të huaj/Totalit</c:v>
                </c:pt>
              </c:strCache>
            </c:strRef>
          </c:tx>
          <c:spPr>
            <a:ln w="25400" cap="rnd">
              <a:solidFill>
                <a:schemeClr val="accent1"/>
              </a:solidFill>
              <a:round/>
            </a:ln>
            <a:effectLst/>
          </c:spPr>
          <c:marker>
            <c:symbol val="diamond"/>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'Slide 8 Risqet'!$B$19:$J$19</c:f>
              <c:numCache>
                <c:formatCode>General</c:formatCode>
                <c:ptCount val="5"/>
                <c:pt idx="0">
                  <c:v>2018</c:v>
                </c:pt>
                <c:pt idx="1">
                  <c:v>2019</c:v>
                </c:pt>
                <c:pt idx="2">
                  <c:v>2020</c:v>
                </c:pt>
                <c:pt idx="3">
                  <c:v>2021</c:v>
                </c:pt>
                <c:pt idx="4" formatCode="0">
                  <c:v>2022</c:v>
                </c:pt>
              </c:numCache>
              <c:extLst/>
            </c:numRef>
          </c:cat>
          <c:val>
            <c:numRef>
              <c:f>'Slide 8 Risqet'!$B$20:$J$20</c:f>
              <c:numCache>
                <c:formatCode>0.0%</c:formatCode>
                <c:ptCount val="5"/>
                <c:pt idx="0">
                  <c:v>0.47703536860947149</c:v>
                </c:pt>
                <c:pt idx="1">
                  <c:v>0.45604536389340583</c:v>
                </c:pt>
                <c:pt idx="2">
                  <c:v>0.47378512859384042</c:v>
                </c:pt>
                <c:pt idx="3">
                  <c:v>0.49779901817438588</c:v>
                </c:pt>
                <c:pt idx="4">
                  <c:v>0.4684945947107565</c:v>
                </c:pt>
              </c:numCache>
              <c:extLst/>
            </c:numRef>
          </c:val>
          <c:smooth val="1"/>
          <c:extLst>
            <c:ext xmlns:c16="http://schemas.microsoft.com/office/drawing/2014/chart" uri="{C3380CC4-5D6E-409C-BE32-E72D297353CC}">
              <c16:uniqueId val="{00000000-9655-4735-A102-E43A7A84D11B}"/>
            </c:ext>
          </c:extLst>
        </c:ser>
        <c:ser>
          <c:idx val="1"/>
          <c:order val="1"/>
          <c:tx>
            <c:strRef>
              <c:f>'Slide 8 Risqet'!$A$21</c:f>
              <c:strCache>
                <c:ptCount val="1"/>
                <c:pt idx="0">
                  <c:v>Kufiri strategjik 2026</c:v>
                </c:pt>
              </c:strCache>
            </c:strRef>
          </c:tx>
          <c:spPr>
            <a:ln w="25400" cap="rnd">
              <a:solidFill>
                <a:srgbClr val="C00000"/>
              </a:solidFill>
              <a:prstDash val="sysDash"/>
              <a:round/>
            </a:ln>
            <a:effectLst/>
          </c:spPr>
          <c:marker>
            <c:symbol val="diamond"/>
            <c:size val="5"/>
            <c:spPr>
              <a:solidFill>
                <a:schemeClr val="accent2"/>
              </a:solidFill>
              <a:ln w="9525">
                <a:solidFill>
                  <a:schemeClr val="accent2"/>
                </a:solidFill>
              </a:ln>
              <a:effectLst/>
            </c:spPr>
          </c:marker>
          <c:dLbls>
            <c:dLbl>
              <c:idx val="0"/>
              <c:layout>
                <c:manualLayout>
                  <c:x val="0.65310785713189357"/>
                  <c:y val="-7.1467857562580825E-2"/>
                </c:manualLayout>
              </c:layout>
              <c:tx>
                <c:rich>
                  <a:bodyPr/>
                  <a:lstStyle/>
                  <a:p>
                    <a:r>
                      <a:rPr lang="en-US"/>
                      <a:t>Max 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55-4735-A102-E43A7A84D11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'Slide 8 Risqet'!$B$19:$J$19</c:f>
              <c:numCache>
                <c:formatCode>General</c:formatCode>
                <c:ptCount val="5"/>
                <c:pt idx="0">
                  <c:v>2018</c:v>
                </c:pt>
                <c:pt idx="1">
                  <c:v>2019</c:v>
                </c:pt>
                <c:pt idx="2">
                  <c:v>2020</c:v>
                </c:pt>
                <c:pt idx="3">
                  <c:v>2021</c:v>
                </c:pt>
                <c:pt idx="4" formatCode="0">
                  <c:v>2022</c:v>
                </c:pt>
              </c:numCache>
              <c:extLst/>
            </c:numRef>
          </c:cat>
          <c:val>
            <c:numRef>
              <c:f>'Slide 8 Risqet'!$B$21:$J$21</c:f>
              <c:numCache>
                <c:formatCode>0%</c:formatCode>
                <c:ptCount val="5"/>
                <c:pt idx="0">
                  <c:v>0.5</c:v>
                </c:pt>
                <c:pt idx="1">
                  <c:v>0.5</c:v>
                </c:pt>
                <c:pt idx="2">
                  <c:v>0.5</c:v>
                </c:pt>
                <c:pt idx="3">
                  <c:v>0.5</c:v>
                </c:pt>
                <c:pt idx="4">
                  <c:v>0.5</c:v>
                </c:pt>
              </c:numCache>
              <c:extLst/>
            </c:numRef>
          </c:val>
          <c:smooth val="0"/>
          <c:extLst>
            <c:ext xmlns:c16="http://schemas.microsoft.com/office/drawing/2014/chart" uri="{C3380CC4-5D6E-409C-BE32-E72D297353CC}">
              <c16:uniqueId val="{00000002-9655-4735-A102-E43A7A84D11B}"/>
            </c:ext>
          </c:extLst>
        </c:ser>
        <c:ser>
          <c:idx val="2"/>
          <c:order val="2"/>
          <c:tx>
            <c:strRef>
              <c:f>'Slide 8 Risqet'!$A$22</c:f>
              <c:strCache>
                <c:ptCount val="1"/>
                <c:pt idx="0">
                  <c:v>Kufizimi i Qendrueshmërisë së Borxhit</c:v>
                </c:pt>
              </c:strCache>
            </c:strRef>
          </c:tx>
          <c:spPr>
            <a:ln w="25400" cap="rnd">
              <a:solidFill>
                <a:schemeClr val="accent3"/>
              </a:solidFill>
              <a:prstDash val="sysDash"/>
              <a:round/>
            </a:ln>
            <a:effectLst/>
          </c:spPr>
          <c:marker>
            <c:symbol val="diamond"/>
            <c:size val="5"/>
            <c:spPr>
              <a:solidFill>
                <a:schemeClr val="accent3"/>
              </a:solidFill>
              <a:ln w="9525">
                <a:solidFill>
                  <a:schemeClr val="accent3"/>
                </a:solidFill>
              </a:ln>
              <a:effectLst/>
            </c:spPr>
          </c:marker>
          <c:dLbls>
            <c:dLbl>
              <c:idx val="0"/>
              <c:layout>
                <c:manualLayout>
                  <c:x val="0.65568494727632731"/>
                  <c:y val="-6.1567229469450653E-2"/>
                </c:manualLayout>
              </c:layout>
              <c:tx>
                <c:rich>
                  <a:bodyPr/>
                  <a:lstStyle/>
                  <a:p>
                    <a:r>
                      <a:rPr lang="en-US"/>
                      <a:t>Max </a:t>
                    </a:r>
                    <a:fld id="{AE11AB0C-9A5D-4C95-B250-0BE2682539DD}"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655-4735-A102-E43A7A84D11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'Slide 8 Risqet'!$B$19:$J$19</c:f>
              <c:numCache>
                <c:formatCode>General</c:formatCode>
                <c:ptCount val="5"/>
                <c:pt idx="0">
                  <c:v>2018</c:v>
                </c:pt>
                <c:pt idx="1">
                  <c:v>2019</c:v>
                </c:pt>
                <c:pt idx="2">
                  <c:v>2020</c:v>
                </c:pt>
                <c:pt idx="3">
                  <c:v>2021</c:v>
                </c:pt>
                <c:pt idx="4" formatCode="0">
                  <c:v>2022</c:v>
                </c:pt>
              </c:numCache>
              <c:extLst/>
            </c:numRef>
          </c:cat>
          <c:val>
            <c:numRef>
              <c:f>'Slide 8 Risqet'!$B$22:$J$22</c:f>
              <c:numCache>
                <c:formatCode>0%</c:formatCode>
                <c:ptCount val="5"/>
                <c:pt idx="0">
                  <c:v>0.6</c:v>
                </c:pt>
                <c:pt idx="1">
                  <c:v>0.6</c:v>
                </c:pt>
                <c:pt idx="2">
                  <c:v>0.6</c:v>
                </c:pt>
                <c:pt idx="3">
                  <c:v>0.6</c:v>
                </c:pt>
                <c:pt idx="4">
                  <c:v>0.6</c:v>
                </c:pt>
              </c:numCache>
              <c:extLst/>
            </c:numRef>
          </c:val>
          <c:smooth val="0"/>
          <c:extLst>
            <c:ext xmlns:c16="http://schemas.microsoft.com/office/drawing/2014/chart" uri="{C3380CC4-5D6E-409C-BE32-E72D297353CC}">
              <c16:uniqueId val="{00000004-9655-4735-A102-E43A7A84D11B}"/>
            </c:ext>
          </c:extLst>
        </c:ser>
        <c:dLbls>
          <c:showLegendKey val="0"/>
          <c:showVal val="0"/>
          <c:showCatName val="0"/>
          <c:showSerName val="0"/>
          <c:showPercent val="0"/>
          <c:showBubbleSize val="0"/>
        </c:dLbls>
        <c:marker val="1"/>
        <c:smooth val="0"/>
        <c:axId val="502004832"/>
        <c:axId val="502002656"/>
      </c:lineChart>
      <c:catAx>
        <c:axId val="5020048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2002656"/>
        <c:crosses val="autoZero"/>
        <c:auto val="1"/>
        <c:lblAlgn val="ctr"/>
        <c:lblOffset val="100"/>
        <c:noMultiLvlLbl val="0"/>
      </c:catAx>
      <c:valAx>
        <c:axId val="502002656"/>
        <c:scaling>
          <c:orientation val="minMax"/>
          <c:min val="0.30000000000000004"/>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2004832"/>
        <c:crosses val="autoZero"/>
        <c:crossBetween val="between"/>
      </c:valAx>
      <c:spPr>
        <a:noFill/>
        <a:ln>
          <a:noFill/>
        </a:ln>
        <a:effectLst/>
      </c:spPr>
    </c:plotArea>
    <c:legend>
      <c:legendPos val="b"/>
      <c:layout>
        <c:manualLayout>
          <c:xMode val="edge"/>
          <c:yMode val="edge"/>
          <c:x val="3.1559142123809107E-2"/>
          <c:y val="0.76241871166558384"/>
          <c:w val="0.95067912330894333"/>
          <c:h val="0.237581288334416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92745269586393E-2"/>
          <c:y val="7.4099023240148193E-2"/>
          <c:w val="0.81543856037603124"/>
          <c:h val="0.68383426642232203"/>
        </c:manualLayout>
      </c:layout>
      <c:barChart>
        <c:barDir val="col"/>
        <c:grouping val="clustered"/>
        <c:varyColors val="0"/>
        <c:ser>
          <c:idx val="0"/>
          <c:order val="0"/>
          <c:tx>
            <c:strRef>
              <c:f>'Tregu primar ankandet (2)'!$B$119</c:f>
              <c:strCache>
                <c:ptCount val="1"/>
                <c:pt idx="0">
                  <c:v>Kërkesa</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(2)'!$A$120:$A$131</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'Tregu primar ankandet (2)'!$H$120:$H$131</c:f>
              <c:numCache>
                <c:formatCode>_-* #,##0.0_L_e_k_-;\-* #,##0.0_L_e_k_-;_-* "-"??_L_e_k_-;_-@_-</c:formatCode>
                <c:ptCount val="12"/>
                <c:pt idx="0">
                  <c:v>41.288170000000001</c:v>
                </c:pt>
                <c:pt idx="1">
                  <c:v>54.706829999999997</c:v>
                </c:pt>
                <c:pt idx="2">
                  <c:v>44.04842</c:v>
                </c:pt>
                <c:pt idx="3">
                  <c:v>27.964779210000003</c:v>
                </c:pt>
                <c:pt idx="4">
                  <c:v>43.459729999999993</c:v>
                </c:pt>
                <c:pt idx="5">
                  <c:v>26.040400000000002</c:v>
                </c:pt>
                <c:pt idx="6">
                  <c:v>30.01707</c:v>
                </c:pt>
                <c:pt idx="7">
                  <c:v>28.739660000000001</c:v>
                </c:pt>
                <c:pt idx="8">
                  <c:v>40.335729999999998</c:v>
                </c:pt>
                <c:pt idx="9">
                  <c:v>25.764720000000001</c:v>
                </c:pt>
                <c:pt idx="10">
                  <c:v>58.292069999999995</c:v>
                </c:pt>
                <c:pt idx="11">
                  <c:v>30.54815</c:v>
                </c:pt>
              </c:numCache>
            </c:numRef>
          </c:val>
          <c:extLst>
            <c:ext xmlns:c16="http://schemas.microsoft.com/office/drawing/2014/chart" uri="{C3380CC4-5D6E-409C-BE32-E72D297353CC}">
              <c16:uniqueId val="{00000000-C646-4115-8F08-D742AE980D56}"/>
            </c:ext>
          </c:extLst>
        </c:ser>
        <c:ser>
          <c:idx val="1"/>
          <c:order val="1"/>
          <c:tx>
            <c:strRef>
              <c:f>'Tregu primar ankandet (2)'!$I$119</c:f>
              <c:strCache>
                <c:ptCount val="1"/>
                <c:pt idx="0">
                  <c:v>Oferta</c:v>
                </c:pt>
              </c:strCache>
            </c:strRef>
          </c:tx>
          <c:spPr>
            <a:solidFill>
              <a:schemeClr val="bg1">
                <a:lumMod val="8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(2)'!$A$120:$A$131</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'Tregu primar ankandet (2)'!$I$120:$I$131</c:f>
              <c:numCache>
                <c:formatCode>_-* #,##0.0_L_e_k_-;\-* #,##0.0_L_e_k_-;_-* "-"??_L_e_k_-;_-@_-</c:formatCode>
                <c:ptCount val="12"/>
                <c:pt idx="0">
                  <c:v>31.7</c:v>
                </c:pt>
                <c:pt idx="1">
                  <c:v>40.9</c:v>
                </c:pt>
                <c:pt idx="2">
                  <c:v>44.1</c:v>
                </c:pt>
                <c:pt idx="3">
                  <c:v>36.790999999999997</c:v>
                </c:pt>
                <c:pt idx="4">
                  <c:v>41.2</c:v>
                </c:pt>
                <c:pt idx="5">
                  <c:v>30.9</c:v>
                </c:pt>
                <c:pt idx="6">
                  <c:v>26.5</c:v>
                </c:pt>
                <c:pt idx="7">
                  <c:v>30</c:v>
                </c:pt>
                <c:pt idx="8">
                  <c:v>38.4</c:v>
                </c:pt>
                <c:pt idx="9">
                  <c:v>31</c:v>
                </c:pt>
                <c:pt idx="10">
                  <c:v>40</c:v>
                </c:pt>
                <c:pt idx="11">
                  <c:v>19</c:v>
                </c:pt>
              </c:numCache>
            </c:numRef>
          </c:val>
          <c:extLst>
            <c:ext xmlns:c16="http://schemas.microsoft.com/office/drawing/2014/chart" uri="{C3380CC4-5D6E-409C-BE32-E72D297353CC}">
              <c16:uniqueId val="{00000001-C646-4115-8F08-D742AE980D56}"/>
            </c:ext>
          </c:extLst>
        </c:ser>
        <c:dLbls>
          <c:showLegendKey val="0"/>
          <c:showVal val="0"/>
          <c:showCatName val="0"/>
          <c:showSerName val="0"/>
          <c:showPercent val="0"/>
          <c:showBubbleSize val="0"/>
        </c:dLbls>
        <c:gapWidth val="100"/>
        <c:axId val="502001024"/>
        <c:axId val="501976000"/>
      </c:barChart>
      <c:lineChart>
        <c:grouping val="standard"/>
        <c:varyColors val="0"/>
        <c:ser>
          <c:idx val="2"/>
          <c:order val="2"/>
          <c:tx>
            <c:strRef>
              <c:f>'Tregu primar ankandet (2)'!$J$119</c:f>
              <c:strCache>
                <c:ptCount val="1"/>
                <c:pt idx="0">
                  <c:v>Raporti i Mbulimit</c:v>
                </c:pt>
              </c:strCache>
            </c:strRef>
          </c:tx>
          <c:spPr>
            <a:ln w="28575" cap="rnd">
              <a:solidFill>
                <a:srgbClr val="C00000"/>
              </a:solidFill>
              <a:round/>
            </a:ln>
            <a:effectLst/>
          </c:spPr>
          <c:marker>
            <c:symbol val="circle"/>
            <c:size val="5"/>
            <c:spPr>
              <a:solidFill>
                <a:srgbClr val="C0000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(2)'!$A$120:$A$131</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'Tregu primar ankandet (2)'!$J$120:$J$131</c:f>
              <c:numCache>
                <c:formatCode>_-* #,##0.00_L_e_k_-;\-* #,##0.00_L_e_k_-;_-* "-"??_L_e_k_-;_-@_-</c:formatCode>
                <c:ptCount val="12"/>
                <c:pt idx="0">
                  <c:v>1.3024659305993691</c:v>
                </c:pt>
                <c:pt idx="1">
                  <c:v>1.3375753056234718</c:v>
                </c:pt>
                <c:pt idx="2">
                  <c:v>0.99883038548752834</c:v>
                </c:pt>
                <c:pt idx="3">
                  <c:v>0.76009837215623399</c:v>
                </c:pt>
                <c:pt idx="4">
                  <c:v>1.0548478155339804</c:v>
                </c:pt>
                <c:pt idx="5">
                  <c:v>0.8427313915857606</c:v>
                </c:pt>
                <c:pt idx="6">
                  <c:v>1.1327196226415095</c:v>
                </c:pt>
                <c:pt idx="7">
                  <c:v>0.95798866666666671</c:v>
                </c:pt>
                <c:pt idx="8">
                  <c:v>1.0504096354166668</c:v>
                </c:pt>
                <c:pt idx="9">
                  <c:v>0.83111999999999997</c:v>
                </c:pt>
                <c:pt idx="10">
                  <c:v>1.4573017499999998</c:v>
                </c:pt>
                <c:pt idx="11">
                  <c:v>1.6077973684210527</c:v>
                </c:pt>
              </c:numCache>
            </c:numRef>
          </c:val>
          <c:smooth val="0"/>
          <c:extLst>
            <c:ext xmlns:c16="http://schemas.microsoft.com/office/drawing/2014/chart" uri="{C3380CC4-5D6E-409C-BE32-E72D297353CC}">
              <c16:uniqueId val="{00000002-C646-4115-8F08-D742AE980D56}"/>
            </c:ext>
          </c:extLst>
        </c:ser>
        <c:dLbls>
          <c:showLegendKey val="0"/>
          <c:showVal val="0"/>
          <c:showCatName val="0"/>
          <c:showSerName val="0"/>
          <c:showPercent val="0"/>
          <c:showBubbleSize val="0"/>
        </c:dLbls>
        <c:marker val="1"/>
        <c:smooth val="0"/>
        <c:axId val="501987968"/>
        <c:axId val="501997760"/>
      </c:lineChart>
      <c:catAx>
        <c:axId val="502001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1976000"/>
        <c:crosses val="autoZero"/>
        <c:auto val="1"/>
        <c:lblAlgn val="ctr"/>
        <c:lblOffset val="100"/>
        <c:noMultiLvlLbl val="0"/>
      </c:catAx>
      <c:valAx>
        <c:axId val="501976000"/>
        <c:scaling>
          <c:orientation val="minMax"/>
          <c:max val="5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mld Lekë</a:t>
                </a:r>
              </a:p>
            </c:rich>
          </c:tx>
          <c:layout>
            <c:manualLayout>
              <c:xMode val="edge"/>
              <c:yMode val="edge"/>
              <c:x val="1.5303682448589193E-2"/>
              <c:y val="0.261137637795275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0_L_e_k_-;\-* #,##0.0_L_e_k_-;_-* &quot;-&quot;??_L_e_k_-;_-@_-"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2001024"/>
        <c:crosses val="autoZero"/>
        <c:crossBetween val="between"/>
        <c:majorUnit val="100"/>
      </c:valAx>
      <c:valAx>
        <c:axId val="501997760"/>
        <c:scaling>
          <c:orientation val="minMax"/>
        </c:scaling>
        <c:delete val="0"/>
        <c:axPos val="r"/>
        <c:numFmt formatCode="_-* #,##0.00_L_e_k_-;\-* #,##0.00_L_e_k_-;_-* &quot;-&quot;??_L_e_k_-;_-@_-"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1987968"/>
        <c:crosses val="max"/>
        <c:crossBetween val="between"/>
        <c:majorUnit val="0.4"/>
      </c:valAx>
      <c:catAx>
        <c:axId val="501987968"/>
        <c:scaling>
          <c:orientation val="minMax"/>
        </c:scaling>
        <c:delete val="1"/>
        <c:axPos val="b"/>
        <c:numFmt formatCode="General" sourceLinked="1"/>
        <c:majorTickMark val="out"/>
        <c:minorTickMark val="none"/>
        <c:tickLblPos val="nextTo"/>
        <c:crossAx val="501997760"/>
        <c:crosses val="autoZero"/>
        <c:auto val="1"/>
        <c:lblAlgn val="ctr"/>
        <c:lblOffset val="100"/>
        <c:noMultiLvlLbl val="0"/>
      </c:catAx>
      <c:spPr>
        <a:noFill/>
        <a:ln>
          <a:noFill/>
        </a:ln>
        <a:effectLst/>
      </c:spPr>
    </c:plotArea>
    <c:legend>
      <c:legendPos val="b"/>
      <c:layout>
        <c:manualLayout>
          <c:xMode val="edge"/>
          <c:yMode val="edge"/>
          <c:x val="0.24606676616403339"/>
          <c:y val="0.88632456645176005"/>
          <c:w val="0.49915187072204209"/>
          <c:h val="0.1136754335482399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28178769320498E-2"/>
          <c:y val="5.7172017352253905E-2"/>
          <c:w val="0.91671314523184599"/>
          <c:h val="0.71290765529831523"/>
        </c:manualLayout>
      </c:layout>
      <c:lineChart>
        <c:grouping val="standard"/>
        <c:varyColors val="0"/>
        <c:ser>
          <c:idx val="0"/>
          <c:order val="0"/>
          <c:tx>
            <c:strRef>
              <c:f>'Yeld Mesatar i Ponderuar'!$F$4</c:f>
              <c:strCache>
                <c:ptCount val="1"/>
                <c:pt idx="0">
                  <c:v>2020</c:v>
                </c:pt>
              </c:strCache>
            </c:strRef>
          </c:tx>
          <c:spPr>
            <a:ln w="25400" cap="rnd">
              <a:solidFill>
                <a:srgbClr val="C00000"/>
              </a:solidFill>
              <a:round/>
            </a:ln>
            <a:effectLst/>
          </c:spPr>
          <c:marker>
            <c:symbol val="diamond"/>
            <c:size val="5"/>
            <c:spPr>
              <a:solidFill>
                <a:srgbClr val="C00000"/>
              </a:solidFill>
              <a:ln w="9525">
                <a:noFill/>
              </a:ln>
              <a:effectLst/>
            </c:spPr>
          </c:marker>
          <c:dLbls>
            <c:dLbl>
              <c:idx val="0"/>
              <c:layout>
                <c:manualLayout>
                  <c:x val="-4.3186317396599956E-2"/>
                  <c:y val="-5.75721244720954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09-45E9-8011-1D8FF917F52D}"/>
                </c:ext>
              </c:extLst>
            </c:dLbl>
            <c:dLbl>
              <c:idx val="3"/>
              <c:layout>
                <c:manualLayout>
                  <c:x val="-3.0233281908463795E-2"/>
                  <c:y val="1.1255448008269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09-45E9-8011-1D8FF917F52D}"/>
                </c:ext>
              </c:extLst>
            </c:dLbl>
            <c:dLbl>
              <c:idx val="4"/>
              <c:layout>
                <c:manualLayout>
                  <c:x val="3.0106530801288906E-4"/>
                  <c:y val="2.7716535433070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09-45E9-8011-1D8FF917F52D}"/>
                </c:ext>
              </c:extLst>
            </c:dLbl>
            <c:dLbl>
              <c:idx val="5"/>
              <c:layout>
                <c:manualLayout>
                  <c:x val="9.10126430274639E-3"/>
                  <c:y val="-6.3059092922026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09-45E9-8011-1D8FF917F52D}"/>
                </c:ext>
              </c:extLst>
            </c:dLbl>
            <c:dLbl>
              <c:idx val="6"/>
              <c:layout>
                <c:manualLayout>
                  <c:x val="-1.8092738407699038E-2"/>
                  <c:y val="-5.6866163334521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09-45E9-8011-1D8FF917F52D}"/>
                </c:ext>
              </c:extLst>
            </c:dLbl>
            <c:spPr>
              <a:noFill/>
              <a:ln>
                <a:noFill/>
              </a:ln>
              <a:effectLst/>
            </c:spPr>
            <c:txPr>
              <a:bodyPr rot="0" spcFirstLastPara="1" vertOverflow="ellipsis" vert="horz" wrap="square" lIns="38100" tIns="19050" rIns="38100" bIns="19050" anchor="t" anchorCtr="0">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Ponderuar'!$F$5:$F$13</c:f>
              <c:numCache>
                <c:formatCode>0.00%</c:formatCode>
                <c:ptCount val="9"/>
                <c:pt idx="0">
                  <c:v>1.0999999999999999E-2</c:v>
                </c:pt>
                <c:pt idx="1">
                  <c:v>1.5599999999999999E-2</c:v>
                </c:pt>
                <c:pt idx="2">
                  <c:v>1.8599999999999998E-2</c:v>
                </c:pt>
                <c:pt idx="3">
                  <c:v>2.2200000000000001E-2</c:v>
                </c:pt>
                <c:pt idx="4">
                  <c:v>2.69E-2</c:v>
                </c:pt>
                <c:pt idx="5">
                  <c:v>3.9899999999999998E-2</c:v>
                </c:pt>
                <c:pt idx="6">
                  <c:v>4.2000000000000003E-2</c:v>
                </c:pt>
                <c:pt idx="7">
                  <c:v>5.1999999999999998E-2</c:v>
                </c:pt>
              </c:numCache>
            </c:numRef>
          </c:val>
          <c:smooth val="1"/>
          <c:extLst>
            <c:ext xmlns:c16="http://schemas.microsoft.com/office/drawing/2014/chart" uri="{C3380CC4-5D6E-409C-BE32-E72D297353CC}">
              <c16:uniqueId val="{00000008-9352-463B-9848-05799531EE10}"/>
            </c:ext>
          </c:extLst>
        </c:ser>
        <c:ser>
          <c:idx val="1"/>
          <c:order val="1"/>
          <c:tx>
            <c:strRef>
              <c:f>'Yeld Mesatar i Ponderuar'!$G$4</c:f>
              <c:strCache>
                <c:ptCount val="1"/>
                <c:pt idx="0">
                  <c:v>2021</c:v>
                </c:pt>
              </c:strCache>
            </c:strRef>
          </c:tx>
          <c:spPr>
            <a:ln w="25400" cap="rnd">
              <a:solidFill>
                <a:schemeClr val="bg1">
                  <a:lumMod val="50000"/>
                </a:schemeClr>
              </a:solidFill>
              <a:round/>
            </a:ln>
            <a:effectLst/>
          </c:spPr>
          <c:marker>
            <c:symbol val="diamond"/>
            <c:size val="5"/>
            <c:spPr>
              <a:solidFill>
                <a:schemeClr val="bg1">
                  <a:lumMod val="50000"/>
                </a:schemeClr>
              </a:solidFill>
              <a:ln w="9525">
                <a:noFill/>
              </a:ln>
              <a:effectLst/>
            </c:spPr>
          </c:marker>
          <c:dLbls>
            <c:dLbl>
              <c:idx val="0"/>
              <c:layout>
                <c:manualLayout>
                  <c:x val="-3.89935326711612E-2"/>
                  <c:y val="3.45022304310726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09-45E9-8011-1D8FF917F52D}"/>
                </c:ext>
              </c:extLst>
            </c:dLbl>
            <c:dLbl>
              <c:idx val="1"/>
              <c:layout>
                <c:manualLayout>
                  <c:x val="-2.083251848420908E-2"/>
                  <c:y val="3.9474201527278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09-45E9-8011-1D8FF917F52D}"/>
                </c:ext>
              </c:extLst>
            </c:dLbl>
            <c:dLbl>
              <c:idx val="2"/>
              <c:layout>
                <c:manualLayout>
                  <c:x val="-3.510181456325593E-2"/>
                  <c:y val="1.76254074714747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09-45E9-8011-1D8FF917F52D}"/>
                </c:ext>
              </c:extLst>
            </c:dLbl>
            <c:dLbl>
              <c:idx val="3"/>
              <c:layout>
                <c:manualLayout>
                  <c:x val="-4.0190873087428955E-2"/>
                  <c:y val="-3.692731954582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09-45E9-8011-1D8FF917F52D}"/>
                </c:ext>
              </c:extLst>
            </c:dLbl>
            <c:dLbl>
              <c:idx val="4"/>
              <c:layout>
                <c:manualLayout>
                  <c:x val="-2.8316403197691953E-2"/>
                  <c:y val="-1.7673415892657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09-45E9-8011-1D8FF917F52D}"/>
                </c:ext>
              </c:extLst>
            </c:dLbl>
            <c:dLbl>
              <c:idx val="5"/>
              <c:layout>
                <c:manualLayout>
                  <c:x val="-7.7273429056662832E-3"/>
                  <c:y val="3.17094931034854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C09-45E9-8011-1D8FF917F52D}"/>
                </c:ext>
              </c:extLst>
            </c:dLbl>
            <c:dLbl>
              <c:idx val="6"/>
              <c:layout>
                <c:manualLayout>
                  <c:x val="-7.9601691009997793E-3"/>
                  <c:y val="4.0088295066831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C09-45E9-8011-1D8FF917F52D}"/>
                </c:ext>
              </c:extLst>
            </c:dLbl>
            <c:dLbl>
              <c:idx val="7"/>
              <c:layout>
                <c:manualLayout>
                  <c:x val="-2.3227344673518988E-2"/>
                  <c:y val="4.0088295066831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09-45E9-8011-1D8FF917F52D}"/>
                </c:ext>
              </c:extLst>
            </c:dLbl>
            <c:dLbl>
              <c:idx val="8"/>
              <c:layout>
                <c:manualLayout>
                  <c:x val="-1.8138286149345834E-2"/>
                  <c:y val="2.0834391413668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09-45E9-8011-1D8FF917F5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Ponderuar'!$G$5:$G$13</c:f>
              <c:numCache>
                <c:formatCode>0.00%</c:formatCode>
                <c:ptCount val="9"/>
                <c:pt idx="0">
                  <c:v>1.07038231737743E-2</c:v>
                </c:pt>
                <c:pt idx="1">
                  <c:v>1.44148696718552E-2</c:v>
                </c:pt>
                <c:pt idx="2">
                  <c:v>1.7801615213184699E-2</c:v>
                </c:pt>
                <c:pt idx="3">
                  <c:v>2.26018483115152E-2</c:v>
                </c:pt>
                <c:pt idx="4">
                  <c:v>2.6911267441860499E-2</c:v>
                </c:pt>
                <c:pt idx="5">
                  <c:v>3.6181434829957899E-2</c:v>
                </c:pt>
                <c:pt idx="6">
                  <c:v>3.9764857585310544E-2</c:v>
                </c:pt>
                <c:pt idx="7">
                  <c:v>5.0122785211632846E-2</c:v>
                </c:pt>
                <c:pt idx="8">
                  <c:v>5.8799999999999998E-2</c:v>
                </c:pt>
              </c:numCache>
            </c:numRef>
          </c:val>
          <c:smooth val="1"/>
          <c:extLst>
            <c:ext xmlns:c16="http://schemas.microsoft.com/office/drawing/2014/chart" uri="{C3380CC4-5D6E-409C-BE32-E72D297353CC}">
              <c16:uniqueId val="{00000011-9352-463B-9848-05799531EE10}"/>
            </c:ext>
          </c:extLst>
        </c:ser>
        <c:ser>
          <c:idx val="2"/>
          <c:order val="2"/>
          <c:tx>
            <c:strRef>
              <c:f>'Yeld Mesatar i Ponderuar'!$H$4</c:f>
              <c:strCache>
                <c:ptCount val="1"/>
                <c:pt idx="0">
                  <c:v>2022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1981198428627816E-2"/>
                  <c:y val="-9.504163831372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09-45E9-8011-1D8FF917F52D}"/>
                </c:ext>
              </c:extLst>
            </c:dLbl>
            <c:dLbl>
              <c:idx val="1"/>
              <c:layout>
                <c:manualLayout>
                  <c:x val="-3.6105707374813445E-2"/>
                  <c:y val="-6.8537420476761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09-45E9-8011-1D8FF917F52D}"/>
                </c:ext>
              </c:extLst>
            </c:dLbl>
            <c:dLbl>
              <c:idx val="2"/>
              <c:layout>
                <c:manualLayout>
                  <c:x val="-3.7535896248263083E-2"/>
                  <c:y val="-5.7048486223172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09-45E9-8011-1D8FF917F52D}"/>
                </c:ext>
              </c:extLst>
            </c:dLbl>
            <c:dLbl>
              <c:idx val="3"/>
              <c:layout>
                <c:manualLayout>
                  <c:x val="-4.5036453776611259E-2"/>
                  <c:y val="-5.2076515126967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C09-45E9-8011-1D8FF917F52D}"/>
                </c:ext>
              </c:extLst>
            </c:dLbl>
            <c:dLbl>
              <c:idx val="4"/>
              <c:layout>
                <c:manualLayout>
                  <c:x val="-5.0890585241730339E-2"/>
                  <c:y val="-4.4925775190713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09-45E9-8011-1D8FF917F52D}"/>
                </c:ext>
              </c:extLst>
            </c:dLbl>
            <c:dLbl>
              <c:idx val="5"/>
              <c:layout>
                <c:manualLayout>
                  <c:x val="-3.485838779956419E-2"/>
                  <c:y val="-9.6804380933864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C09-45E9-8011-1D8FF917F52D}"/>
                </c:ext>
              </c:extLst>
            </c:dLbl>
            <c:dLbl>
              <c:idx val="6"/>
              <c:layout>
                <c:manualLayout>
                  <c:x val="-2.5445292620865138E-2"/>
                  <c:y val="-6.7388662786070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C09-45E9-8011-1D8FF917F52D}"/>
                </c:ext>
              </c:extLst>
            </c:dLbl>
            <c:dLbl>
              <c:idx val="7"/>
              <c:layout>
                <c:manualLayout>
                  <c:x val="-2.6143790849673363E-2"/>
                  <c:y val="-0.124338161433524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C09-45E9-8011-1D8FF917F52D}"/>
                </c:ext>
              </c:extLst>
            </c:dLbl>
            <c:dLbl>
              <c:idx val="8"/>
              <c:layout>
                <c:manualLayout>
                  <c:x val="-2.3732352083440711E-2"/>
                  <c:y val="-5.7048486223172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C09-45E9-8011-1D8FF917F52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Ponderuar'!$H$5:$H$13</c:f>
              <c:numCache>
                <c:formatCode>0.00%</c:formatCode>
                <c:ptCount val="9"/>
                <c:pt idx="0">
                  <c:v>1.83817730980439E-2</c:v>
                </c:pt>
                <c:pt idx="1">
                  <c:v>2.71558009000544E-2</c:v>
                </c:pt>
                <c:pt idx="2">
                  <c:v>3.23208964415206E-2</c:v>
                </c:pt>
                <c:pt idx="3">
                  <c:v>3.2128545325935003E-2</c:v>
                </c:pt>
                <c:pt idx="4">
                  <c:v>3.72322927823759E-2</c:v>
                </c:pt>
                <c:pt idx="5">
                  <c:v>4.47550820456546E-2</c:v>
                </c:pt>
                <c:pt idx="6">
                  <c:v>5.7026717569382095E-2</c:v>
                </c:pt>
                <c:pt idx="7">
                  <c:v>5.5533946839223497E-2</c:v>
                </c:pt>
                <c:pt idx="8">
                  <c:v>6.8531569698590367E-2</c:v>
                </c:pt>
              </c:numCache>
            </c:numRef>
          </c:val>
          <c:smooth val="0"/>
          <c:extLst>
            <c:ext xmlns:c16="http://schemas.microsoft.com/office/drawing/2014/chart" uri="{C3380CC4-5D6E-409C-BE32-E72D297353CC}">
              <c16:uniqueId val="{00000017-5C09-45E9-8011-1D8FF917F52D}"/>
            </c:ext>
          </c:extLst>
        </c:ser>
        <c:dLbls>
          <c:showLegendKey val="0"/>
          <c:showVal val="0"/>
          <c:showCatName val="0"/>
          <c:showSerName val="0"/>
          <c:showPercent val="0"/>
          <c:showBubbleSize val="0"/>
        </c:dLbls>
        <c:marker val="1"/>
        <c:smooth val="0"/>
        <c:axId val="502004288"/>
        <c:axId val="501981440"/>
      </c:lineChart>
      <c:catAx>
        <c:axId val="50200428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501981440"/>
        <c:crosses val="autoZero"/>
        <c:auto val="1"/>
        <c:lblAlgn val="ctr"/>
        <c:lblOffset val="100"/>
        <c:noMultiLvlLbl val="0"/>
      </c:catAx>
      <c:valAx>
        <c:axId val="501981440"/>
        <c:scaling>
          <c:orientation val="minMax"/>
          <c:max val="8.0000000000000016E-2"/>
        </c:scaling>
        <c:delete val="0"/>
        <c:axPos val="l"/>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2004288"/>
        <c:crosses val="autoZero"/>
        <c:crossBetween val="between"/>
        <c:majorUnit val="2.0000000000000004E-2"/>
      </c:valAx>
      <c:spPr>
        <a:noFill/>
        <a:ln>
          <a:noFill/>
        </a:ln>
        <a:effectLst/>
      </c:spPr>
    </c:plotArea>
    <c:legend>
      <c:legendPos val="b"/>
      <c:layout>
        <c:manualLayout>
          <c:xMode val="edge"/>
          <c:yMode val="edge"/>
          <c:x val="0.34230356701595505"/>
          <c:y val="0.88698699443349915"/>
          <c:w val="0.3794148525551953"/>
          <c:h val="8.287346014503262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a:solidFill>
                  <a:sysClr val="windowText" lastClr="000000"/>
                </a:solidFill>
              </a:rPr>
              <a:t> </a:t>
            </a:r>
            <a:r>
              <a:rPr lang="en-US" sz="900" b="1" i="0" baseline="0">
                <a:effectLst/>
              </a:rPr>
              <a:t>Dhjetor 2021</a:t>
            </a:r>
          </a:p>
        </c:rich>
      </c:tx>
      <c:layout>
        <c:manualLayout>
          <c:xMode val="edge"/>
          <c:yMode val="edge"/>
          <c:x val="0.41993311036789288"/>
          <c:y val="2.2174706879106044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124628902992477"/>
          <c:y val="0.1419457749028547"/>
          <c:w val="0.59141635723628194"/>
          <c:h val="0.72771015314265175"/>
        </c:manualLayout>
      </c:layout>
      <c:pieChart>
        <c:varyColors val="1"/>
        <c:ser>
          <c:idx val="0"/>
          <c:order val="0"/>
          <c:explosion val="7"/>
          <c:dPt>
            <c:idx val="0"/>
            <c:bubble3D val="0"/>
            <c:spPr>
              <a:solidFill>
                <a:srgbClr val="C0000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2B79-4C18-A92B-7689F3992F25}"/>
              </c:ext>
            </c:extLst>
          </c:dPt>
          <c:dPt>
            <c:idx val="1"/>
            <c:bubble3D val="0"/>
            <c:spPr>
              <a:solidFill>
                <a:schemeClr val="accent3"/>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2B79-4C18-A92B-7689F3992F25}"/>
              </c:ext>
            </c:extLst>
          </c:dPt>
          <c:dPt>
            <c:idx val="2"/>
            <c:bubble3D val="0"/>
            <c:spPr>
              <a:solidFill>
                <a:srgbClr val="7030A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2B79-4C18-A92B-7689F3992F25}"/>
              </c:ext>
            </c:extLst>
          </c:dPt>
          <c:dPt>
            <c:idx val="3"/>
            <c:bubble3D val="0"/>
            <c:spPr>
              <a:solidFill>
                <a:schemeClr val="accent6"/>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2B79-4C18-A92B-7689F3992F25}"/>
              </c:ext>
            </c:extLst>
          </c:dPt>
          <c:dLbls>
            <c:dLbl>
              <c:idx val="0"/>
              <c:layout>
                <c:manualLayout>
                  <c:x val="-0.16488183698808104"/>
                  <c:y val="-0.1092191774801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79-4C18-A92B-7689F3992F25}"/>
                </c:ext>
              </c:extLst>
            </c:dLbl>
            <c:dLbl>
              <c:idx val="1"/>
              <c:layout>
                <c:manualLayout>
                  <c:x val="0.13294407114010906"/>
                  <c:y val="6.0349905866967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79-4C18-A92B-7689F3992F25}"/>
                </c:ext>
              </c:extLst>
            </c:dLbl>
            <c:dLbl>
              <c:idx val="2"/>
              <c:layout>
                <c:manualLayout>
                  <c:x val="5.091381764489545E-2"/>
                  <c:y val="5.5004676687103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79-4C18-A92B-7689F3992F25}"/>
                </c:ext>
              </c:extLst>
            </c:dLbl>
            <c:dLbl>
              <c:idx val="3"/>
              <c:layout>
                <c:manualLayout>
                  <c:x val="6.9623153293129333E-2"/>
                  <c:y val="7.1028621249525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79-4C18-A92B-7689F3992F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'B.Shteteror sipas Monedhes '!$A$42:$A$45</c:f>
              <c:strCache>
                <c:ptCount val="4"/>
                <c:pt idx="0">
                  <c:v>EUR</c:v>
                </c:pt>
                <c:pt idx="1">
                  <c:v>USD</c:v>
                </c:pt>
                <c:pt idx="2">
                  <c:v>JPY</c:v>
                </c:pt>
                <c:pt idx="3">
                  <c:v>Të tjera</c:v>
                </c:pt>
              </c:strCache>
            </c:strRef>
          </c:cat>
          <c:val>
            <c:numRef>
              <c:f>'B.Shteteror sipas Monedhes '!$M$42:$M$45</c:f>
              <c:numCache>
                <c:formatCode>0.0%</c:formatCode>
                <c:ptCount val="4"/>
                <c:pt idx="0">
                  <c:v>0.7394399699248605</c:v>
                </c:pt>
                <c:pt idx="1">
                  <c:v>0.17899207269812201</c:v>
                </c:pt>
                <c:pt idx="2">
                  <c:v>2.5012541767801374E-2</c:v>
                </c:pt>
                <c:pt idx="3">
                  <c:v>5.6555415609216023E-2</c:v>
                </c:pt>
              </c:numCache>
            </c:numRef>
          </c:val>
          <c:extLst>
            <c:ext xmlns:c16="http://schemas.microsoft.com/office/drawing/2014/chart" uri="{C3380CC4-5D6E-409C-BE32-E72D297353CC}">
              <c16:uniqueId val="{00000008-2B79-4C18-A92B-7689F3992F2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2391301840565597"/>
          <c:y val="0.86056850148021669"/>
          <c:w val="0.55217363366302374"/>
          <c:h val="0.131631186507302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306184823940286"/>
          <c:y val="0.10296360124795723"/>
          <c:w val="0.74774840298162826"/>
          <c:h val="0.59790267992816692"/>
        </c:manualLayout>
      </c:layout>
      <c:barChart>
        <c:barDir val="col"/>
        <c:grouping val="clustered"/>
        <c:varyColors val="0"/>
        <c:ser>
          <c:idx val="0"/>
          <c:order val="0"/>
          <c:tx>
            <c:strRef>
              <c:f>'BJ qendror sipas interesit'!$A$4</c:f>
              <c:strCache>
                <c:ptCount val="1"/>
                <c:pt idx="0">
                  <c:v>Interes Fiks</c:v>
                </c:pt>
              </c:strCache>
            </c:strRef>
          </c:tx>
          <c:spPr>
            <a:solidFill>
              <a:schemeClr val="accent1"/>
            </a:solidFill>
            <a:ln>
              <a:solidFill>
                <a:schemeClr val="bg1">
                  <a:lumMod val="65000"/>
                </a:schemeClr>
              </a:solidFill>
            </a:ln>
            <a:effectLst/>
          </c:spPr>
          <c:invertIfNegative val="0"/>
          <c:cat>
            <c:numRef>
              <c:f>'BJ qendror sipas interesit'!$C$3:$I$3</c:f>
              <c:numCache>
                <c:formatCode>General</c:formatCode>
                <c:ptCount val="6"/>
                <c:pt idx="0">
                  <c:v>2017</c:v>
                </c:pt>
                <c:pt idx="1">
                  <c:v>2018</c:v>
                </c:pt>
                <c:pt idx="2">
                  <c:v>2019</c:v>
                </c:pt>
                <c:pt idx="3">
                  <c:v>2020</c:v>
                </c:pt>
                <c:pt idx="4">
                  <c:v>2021</c:v>
                </c:pt>
                <c:pt idx="5">
                  <c:v>2022</c:v>
                </c:pt>
              </c:numCache>
            </c:numRef>
          </c:cat>
          <c:val>
            <c:numRef>
              <c:f>'BJ qendror sipas interesit'!$C$4:$I$4</c:f>
              <c:numCache>
                <c:formatCode>_(* #,##0.0_);_(* \(#,##0.0\);_(* "-"??_);_(@_)</c:formatCode>
                <c:ptCount val="6"/>
                <c:pt idx="0">
                  <c:v>1951.181</c:v>
                </c:pt>
                <c:pt idx="1">
                  <c:v>2218.1145000000001</c:v>
                </c:pt>
                <c:pt idx="2">
                  <c:v>2170.9146999999998</c:v>
                </c:pt>
                <c:pt idx="3">
                  <c:v>2504.7314000000001</c:v>
                </c:pt>
                <c:pt idx="4">
                  <c:v>3397.5983200000001</c:v>
                </c:pt>
                <c:pt idx="5">
                  <c:v>3458.1522799999998</c:v>
                </c:pt>
              </c:numCache>
            </c:numRef>
          </c:val>
          <c:extLst>
            <c:ext xmlns:c16="http://schemas.microsoft.com/office/drawing/2014/chart" uri="{C3380CC4-5D6E-409C-BE32-E72D297353CC}">
              <c16:uniqueId val="{00000000-ABE0-40BE-A839-B904B818D5E7}"/>
            </c:ext>
          </c:extLst>
        </c:ser>
        <c:ser>
          <c:idx val="1"/>
          <c:order val="1"/>
          <c:tx>
            <c:strRef>
              <c:f>'BJ qendror sipas interesit'!$A$5</c:f>
              <c:strCache>
                <c:ptCount val="1"/>
                <c:pt idx="0">
                  <c:v>Interes i ndryshueshëm</c:v>
                </c:pt>
              </c:strCache>
            </c:strRef>
          </c:tx>
          <c:spPr>
            <a:solidFill>
              <a:srgbClr val="C00000"/>
            </a:solidFill>
            <a:ln>
              <a:noFill/>
            </a:ln>
            <a:effectLst/>
          </c:spPr>
          <c:invertIfNegative val="0"/>
          <c:cat>
            <c:numRef>
              <c:f>'BJ qendror sipas interesit'!$C$3:$I$3</c:f>
              <c:numCache>
                <c:formatCode>General</c:formatCode>
                <c:ptCount val="6"/>
                <c:pt idx="0">
                  <c:v>2017</c:v>
                </c:pt>
                <c:pt idx="1">
                  <c:v>2018</c:v>
                </c:pt>
                <c:pt idx="2">
                  <c:v>2019</c:v>
                </c:pt>
                <c:pt idx="3">
                  <c:v>2020</c:v>
                </c:pt>
                <c:pt idx="4">
                  <c:v>2021</c:v>
                </c:pt>
                <c:pt idx="5">
                  <c:v>2022</c:v>
                </c:pt>
              </c:numCache>
            </c:numRef>
          </c:cat>
          <c:val>
            <c:numRef>
              <c:f>'BJ qendror sipas interesit'!$C$5:$I$5</c:f>
              <c:numCache>
                <c:formatCode>_(* #,##0.0_);_(* \(#,##0.0\);_(* "-"??_);_(@_)</c:formatCode>
                <c:ptCount val="6"/>
                <c:pt idx="0">
                  <c:v>1886.999</c:v>
                </c:pt>
                <c:pt idx="1">
                  <c:v>2045.8501000000001</c:v>
                </c:pt>
                <c:pt idx="2">
                  <c:v>2056.3513899999998</c:v>
                </c:pt>
                <c:pt idx="3">
                  <c:v>2183.6307000000002</c:v>
                </c:pt>
                <c:pt idx="4">
                  <c:v>2236.7635599999999</c:v>
                </c:pt>
                <c:pt idx="5">
                  <c:v>2194.92011</c:v>
                </c:pt>
              </c:numCache>
            </c:numRef>
          </c:val>
          <c:extLst>
            <c:ext xmlns:c16="http://schemas.microsoft.com/office/drawing/2014/chart" uri="{C3380CC4-5D6E-409C-BE32-E72D297353CC}">
              <c16:uniqueId val="{00000001-ABE0-40BE-A839-B904B818D5E7}"/>
            </c:ext>
          </c:extLst>
        </c:ser>
        <c:dLbls>
          <c:showLegendKey val="0"/>
          <c:showVal val="0"/>
          <c:showCatName val="0"/>
          <c:showSerName val="0"/>
          <c:showPercent val="0"/>
          <c:showBubbleSize val="0"/>
        </c:dLbls>
        <c:gapWidth val="219"/>
        <c:overlap val="-27"/>
        <c:axId val="501974368"/>
        <c:axId val="502003744"/>
      </c:barChart>
      <c:catAx>
        <c:axId val="50197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003744"/>
        <c:crosses val="autoZero"/>
        <c:auto val="1"/>
        <c:lblAlgn val="ctr"/>
        <c:lblOffset val="100"/>
        <c:tickMarkSkip val="1"/>
        <c:noMultiLvlLbl val="0"/>
      </c:catAx>
      <c:valAx>
        <c:axId val="502003744"/>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sq-AL" sz="900" b="1">
                    <a:solidFill>
                      <a:sysClr val="windowText" lastClr="000000"/>
                    </a:solidFill>
                  </a:rPr>
                  <a:t>në milion Euro</a:t>
                </a:r>
                <a:endParaRPr lang="en-US" sz="900" b="1">
                  <a:solidFill>
                    <a:sysClr val="windowText" lastClr="000000"/>
                  </a:solidFill>
                </a:endParaRPr>
              </a:p>
            </c:rich>
          </c:tx>
          <c:layout>
            <c:manualLayout>
              <c:xMode val="edge"/>
              <c:yMode val="edge"/>
              <c:x val="0.12960281676525751"/>
              <c:y val="0.2073340266428960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rgbClr val="000000"/>
            </a:solidFill>
          </a:ln>
          <a:effectLst/>
        </c:spPr>
        <c:txPr>
          <a:bodyPr rot="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501974368"/>
        <c:crosses val="autoZero"/>
        <c:crossBetween val="between"/>
      </c:valAx>
      <c:dTable>
        <c:showHorzBorder val="1"/>
        <c:showVertBorder val="1"/>
        <c:showOutline val="1"/>
        <c:showKeys val="1"/>
        <c:spPr>
          <a:noFill/>
          <a:ln w="9525" cap="flat" cmpd="sng" algn="ctr">
            <a:solidFill>
              <a:srgbClr val="000000"/>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954751375256176"/>
          <c:y val="0.16951619236571805"/>
          <c:w val="0.8218353285370773"/>
          <c:h val="0.53365160063653461"/>
        </c:manualLayout>
      </c:layout>
      <c:barChart>
        <c:barDir val="col"/>
        <c:grouping val="clustered"/>
        <c:varyColors val="0"/>
        <c:ser>
          <c:idx val="0"/>
          <c:order val="0"/>
          <c:tx>
            <c:strRef>
              <c:f>'BJ Qendror sipas Koncesionalite'!$A$4</c:f>
              <c:strCache>
                <c:ptCount val="1"/>
                <c:pt idx="0">
                  <c:v>Koncesionale</c:v>
                </c:pt>
              </c:strCache>
            </c:strRef>
          </c:tx>
          <c:spPr>
            <a:solidFill>
              <a:schemeClr val="accent1"/>
            </a:solidFill>
            <a:ln>
              <a:noFill/>
            </a:ln>
            <a:effectLst/>
          </c:spPr>
          <c:invertIfNegative val="0"/>
          <c:cat>
            <c:numRef>
              <c:f>'BJ Qendror sipas Koncesionalite'!$C$3:$I$3</c:f>
              <c:numCache>
                <c:formatCode>General</c:formatCode>
                <c:ptCount val="6"/>
                <c:pt idx="0">
                  <c:v>2017</c:v>
                </c:pt>
                <c:pt idx="1">
                  <c:v>2018</c:v>
                </c:pt>
                <c:pt idx="2">
                  <c:v>2019</c:v>
                </c:pt>
                <c:pt idx="3">
                  <c:v>2020</c:v>
                </c:pt>
                <c:pt idx="4">
                  <c:v>2021</c:v>
                </c:pt>
                <c:pt idx="5">
                  <c:v>2022</c:v>
                </c:pt>
              </c:numCache>
            </c:numRef>
          </c:cat>
          <c:val>
            <c:numRef>
              <c:f>'BJ Qendror sipas Koncesionalite'!$C$4:$I$4</c:f>
              <c:numCache>
                <c:formatCode>_(* #,##0.0_);_(* \(#,##0.0\);_(* "-"??_);_(@_)</c:formatCode>
                <c:ptCount val="6"/>
                <c:pt idx="0">
                  <c:v>1939.6977999999999</c:v>
                </c:pt>
                <c:pt idx="1">
                  <c:v>1952.69</c:v>
                </c:pt>
                <c:pt idx="2">
                  <c:v>1927.5329999999999</c:v>
                </c:pt>
                <c:pt idx="3">
                  <c:v>1834.7692</c:v>
                </c:pt>
                <c:pt idx="4" formatCode="_(* #,##0.00_);_(* \(#,##0.00\);_(* &quot;-&quot;??_);_(@_)">
                  <c:v>1951.81574</c:v>
                </c:pt>
                <c:pt idx="5" formatCode="_(* #,##0.00_);_(* \(#,##0.00\);_(* &quot;-&quot;??_);_(@_)">
                  <c:v>1811.366503</c:v>
                </c:pt>
              </c:numCache>
            </c:numRef>
          </c:val>
          <c:extLst>
            <c:ext xmlns:c16="http://schemas.microsoft.com/office/drawing/2014/chart" uri="{C3380CC4-5D6E-409C-BE32-E72D297353CC}">
              <c16:uniqueId val="{00000000-A229-4FBC-AD7A-5DA90F7F1E61}"/>
            </c:ext>
          </c:extLst>
        </c:ser>
        <c:ser>
          <c:idx val="1"/>
          <c:order val="1"/>
          <c:tx>
            <c:strRef>
              <c:f>'BJ Qendror sipas Koncesionalite'!$A$5</c:f>
              <c:strCache>
                <c:ptCount val="1"/>
                <c:pt idx="0">
                  <c:v>Jo-koncesionale</c:v>
                </c:pt>
              </c:strCache>
            </c:strRef>
          </c:tx>
          <c:spPr>
            <a:solidFill>
              <a:srgbClr val="C00000"/>
            </a:solidFill>
            <a:ln>
              <a:noFill/>
            </a:ln>
            <a:effectLst/>
          </c:spPr>
          <c:invertIfNegative val="0"/>
          <c:cat>
            <c:numRef>
              <c:f>'BJ Qendror sipas Koncesionalite'!$C$3:$I$3</c:f>
              <c:numCache>
                <c:formatCode>General</c:formatCode>
                <c:ptCount val="6"/>
                <c:pt idx="0">
                  <c:v>2017</c:v>
                </c:pt>
                <c:pt idx="1">
                  <c:v>2018</c:v>
                </c:pt>
                <c:pt idx="2">
                  <c:v>2019</c:v>
                </c:pt>
                <c:pt idx="3">
                  <c:v>2020</c:v>
                </c:pt>
                <c:pt idx="4">
                  <c:v>2021</c:v>
                </c:pt>
                <c:pt idx="5">
                  <c:v>2022</c:v>
                </c:pt>
              </c:numCache>
            </c:numRef>
          </c:cat>
          <c:val>
            <c:numRef>
              <c:f>'BJ Qendror sipas Koncesionalite'!$C$5:$I$5</c:f>
              <c:numCache>
                <c:formatCode>_(* #,##0.0_);_(* \(#,##0.0\);_(* "-"??_);_(@_)</c:formatCode>
                <c:ptCount val="6"/>
                <c:pt idx="0">
                  <c:v>1898.4829999999999</c:v>
                </c:pt>
                <c:pt idx="1">
                  <c:v>2311.2739999999999</c:v>
                </c:pt>
                <c:pt idx="2">
                  <c:v>2299.7330999999999</c:v>
                </c:pt>
                <c:pt idx="3">
                  <c:v>2853.5929000000001</c:v>
                </c:pt>
                <c:pt idx="4" formatCode="_(* #,##0.00_);_(* \(#,##0.00\);_(* &quot;-&quot;??_);_(@_)">
                  <c:v>3682.5461500000001</c:v>
                </c:pt>
                <c:pt idx="5" formatCode="_(* #,##0.00_);_(* \(#,##0.00\);_(* &quot;-&quot;??_);_(@_)">
                  <c:v>3841.7058900000002</c:v>
                </c:pt>
              </c:numCache>
            </c:numRef>
          </c:val>
          <c:extLst>
            <c:ext xmlns:c16="http://schemas.microsoft.com/office/drawing/2014/chart" uri="{C3380CC4-5D6E-409C-BE32-E72D297353CC}">
              <c16:uniqueId val="{00000001-A229-4FBC-AD7A-5DA90F7F1E61}"/>
            </c:ext>
          </c:extLst>
        </c:ser>
        <c:dLbls>
          <c:showLegendKey val="0"/>
          <c:showVal val="0"/>
          <c:showCatName val="0"/>
          <c:showSerName val="0"/>
          <c:showPercent val="0"/>
          <c:showBubbleSize val="0"/>
        </c:dLbls>
        <c:gapWidth val="219"/>
        <c:overlap val="-27"/>
        <c:axId val="501992864"/>
        <c:axId val="501995040"/>
      </c:barChart>
      <c:catAx>
        <c:axId val="5019928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995040"/>
        <c:crosses val="autoZero"/>
        <c:auto val="1"/>
        <c:lblAlgn val="ctr"/>
        <c:lblOffset val="100"/>
        <c:tickMarkSkip val="1"/>
        <c:noMultiLvlLbl val="0"/>
      </c:catAx>
      <c:valAx>
        <c:axId val="501995040"/>
        <c:scaling>
          <c:orientation val="minMax"/>
          <c:max val="4000"/>
          <c:min val="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sq-AL" sz="900" b="1">
                    <a:solidFill>
                      <a:sysClr val="windowText" lastClr="000000"/>
                    </a:solidFill>
                  </a:rPr>
                  <a:t>në milion Euro</a:t>
                </a:r>
                <a:endParaRPr lang="en-US" sz="900" b="1">
                  <a:solidFill>
                    <a:sysClr val="windowText" lastClr="000000"/>
                  </a:solidFill>
                </a:endParaRPr>
              </a:p>
            </c:rich>
          </c:tx>
          <c:layout>
            <c:manualLayout>
              <c:xMode val="edge"/>
              <c:yMode val="edge"/>
              <c:x val="7.9515649530903398E-2"/>
              <c:y val="0.2335189203711740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1992864"/>
        <c:crosses val="autoZero"/>
        <c:crossBetween val="between"/>
        <c:majorUnit val="1000"/>
      </c:valAx>
      <c:dTable>
        <c:showHorzBorder val="1"/>
        <c:showVertBorder val="1"/>
        <c:showOutline val="1"/>
        <c:showKeys val="1"/>
        <c:spPr>
          <a:noFill/>
          <a:ln w="9525" cap="flat" cmpd="sng" algn="ctr">
            <a:solidFill>
              <a:schemeClr val="tx1"/>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149618778320626E-2"/>
          <c:y val="5.0925925925925923E-2"/>
          <c:w val="0.88937625868155079"/>
          <c:h val="0.72782408296523904"/>
        </c:manualLayout>
      </c:layout>
      <c:barChart>
        <c:barDir val="col"/>
        <c:grouping val="stacked"/>
        <c:varyColors val="0"/>
        <c:ser>
          <c:idx val="0"/>
          <c:order val="0"/>
          <c:tx>
            <c:strRef>
              <c:f>'Kompozimi '!$A$46</c:f>
              <c:strCache>
                <c:ptCount val="1"/>
                <c:pt idx="0">
                  <c:v>Tituj Shtetërorë Vendas</c:v>
                </c:pt>
              </c:strCache>
            </c:strRef>
          </c:tx>
          <c:spPr>
            <a:solidFill>
              <a:srgbClr val="4472C4">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'!$B$45:$H$45</c:f>
              <c:strCache>
                <c:ptCount val="5"/>
                <c:pt idx="0">
                  <c:v>2018</c:v>
                </c:pt>
                <c:pt idx="1">
                  <c:v>2019</c:v>
                </c:pt>
                <c:pt idx="2">
                  <c:v>2020</c:v>
                </c:pt>
                <c:pt idx="3">
                  <c:v>2021</c:v>
                </c:pt>
                <c:pt idx="4">
                  <c:v>2022</c:v>
                </c:pt>
              </c:strCache>
            </c:strRef>
          </c:cat>
          <c:val>
            <c:numRef>
              <c:f>'Kompozimi '!$B$46:$H$46</c:f>
              <c:numCache>
                <c:formatCode>0.0%</c:formatCode>
                <c:ptCount val="5"/>
                <c:pt idx="0">
                  <c:v>0.53215391762817255</c:v>
                </c:pt>
                <c:pt idx="1">
                  <c:v>0.54395463759693086</c:v>
                </c:pt>
                <c:pt idx="2">
                  <c:v>0.53674051046029114</c:v>
                </c:pt>
                <c:pt idx="3">
                  <c:v>0.51129596548004841</c:v>
                </c:pt>
                <c:pt idx="4">
                  <c:v>0.53535060551858626</c:v>
                </c:pt>
              </c:numCache>
            </c:numRef>
          </c:val>
          <c:extLst>
            <c:ext xmlns:c16="http://schemas.microsoft.com/office/drawing/2014/chart" uri="{C3380CC4-5D6E-409C-BE32-E72D297353CC}">
              <c16:uniqueId val="{00000000-F05C-4477-BC14-617F3DBE7433}"/>
            </c:ext>
          </c:extLst>
        </c:ser>
        <c:ser>
          <c:idx val="1"/>
          <c:order val="1"/>
          <c:tx>
            <c:strRef>
              <c:f>'Kompozimi '!$A$47</c:f>
              <c:strCache>
                <c:ptCount val="1"/>
                <c:pt idx="0">
                  <c:v>Tituj Ndërkombëtarë</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'!$B$45:$H$45</c:f>
              <c:strCache>
                <c:ptCount val="5"/>
                <c:pt idx="0">
                  <c:v>2018</c:v>
                </c:pt>
                <c:pt idx="1">
                  <c:v>2019</c:v>
                </c:pt>
                <c:pt idx="2">
                  <c:v>2020</c:v>
                </c:pt>
                <c:pt idx="3">
                  <c:v>2021</c:v>
                </c:pt>
                <c:pt idx="4">
                  <c:v>2022</c:v>
                </c:pt>
              </c:strCache>
            </c:strRef>
          </c:cat>
          <c:val>
            <c:numRef>
              <c:f>'Kompozimi '!$B$47:$H$47</c:f>
              <c:numCache>
                <c:formatCode>0.0%</c:formatCode>
                <c:ptCount val="5"/>
                <c:pt idx="0">
                  <c:v>8.7169490773162925E-2</c:v>
                </c:pt>
                <c:pt idx="1">
                  <c:v>8.5337538486562989E-2</c:v>
                </c:pt>
                <c:pt idx="2">
                  <c:v>0.12104485195545694</c:v>
                </c:pt>
                <c:pt idx="3">
                  <c:v>0.16370969396470803</c:v>
                </c:pt>
                <c:pt idx="4">
                  <c:v>0.15574685742696714</c:v>
                </c:pt>
              </c:numCache>
            </c:numRef>
          </c:val>
          <c:extLst>
            <c:ext xmlns:c16="http://schemas.microsoft.com/office/drawing/2014/chart" uri="{C3380CC4-5D6E-409C-BE32-E72D297353CC}">
              <c16:uniqueId val="{00000001-F05C-4477-BC14-617F3DBE7433}"/>
            </c:ext>
          </c:extLst>
        </c:ser>
        <c:ser>
          <c:idx val="2"/>
          <c:order val="2"/>
          <c:tx>
            <c:strRef>
              <c:f>'Kompozimi '!$A$48</c:f>
              <c:strCache>
                <c:ptCount val="1"/>
                <c:pt idx="0">
                  <c:v>Hua (terma konsesionale)</c:v>
                </c:pt>
              </c:strCache>
            </c:strRef>
          </c:tx>
          <c:spPr>
            <a:solidFill>
              <a:srgbClr val="4472C4">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'!$B$45:$H$45</c:f>
              <c:strCache>
                <c:ptCount val="5"/>
                <c:pt idx="0">
                  <c:v>2018</c:v>
                </c:pt>
                <c:pt idx="1">
                  <c:v>2019</c:v>
                </c:pt>
                <c:pt idx="2">
                  <c:v>2020</c:v>
                </c:pt>
                <c:pt idx="3">
                  <c:v>2021</c:v>
                </c:pt>
                <c:pt idx="4">
                  <c:v>2022</c:v>
                </c:pt>
              </c:strCache>
            </c:strRef>
          </c:cat>
          <c:val>
            <c:numRef>
              <c:f>'Kompozimi '!$B$48:$H$48</c:f>
              <c:numCache>
                <c:formatCode>0.0%</c:formatCode>
                <c:ptCount val="5"/>
                <c:pt idx="0">
                  <c:v>0.21839607793531565</c:v>
                </c:pt>
                <c:pt idx="1">
                  <c:v>0.21027132013156263</c:v>
                </c:pt>
                <c:pt idx="2">
                  <c:v>0.18489105018654081</c:v>
                </c:pt>
                <c:pt idx="3">
                  <c:v>0.15467906045675939</c:v>
                </c:pt>
                <c:pt idx="4">
                  <c:v>0.13517037696950226</c:v>
                </c:pt>
              </c:numCache>
            </c:numRef>
          </c:val>
          <c:extLst>
            <c:ext xmlns:c16="http://schemas.microsoft.com/office/drawing/2014/chart" uri="{C3380CC4-5D6E-409C-BE32-E72D297353CC}">
              <c16:uniqueId val="{00000002-F05C-4477-BC14-617F3DBE7433}"/>
            </c:ext>
          </c:extLst>
        </c:ser>
        <c:ser>
          <c:idx val="3"/>
          <c:order val="3"/>
          <c:tx>
            <c:strRef>
              <c:f>'Kompozimi '!$A$49</c:f>
              <c:strCache>
                <c:ptCount val="1"/>
                <c:pt idx="0">
                  <c:v>Hua (terma jo-konsesionale)</c:v>
                </c:pt>
              </c:strCache>
            </c:strRef>
          </c:tx>
          <c:spPr>
            <a:solidFill>
              <a:sysClr val="window" lastClr="FFFFFF">
                <a:lumMod val="8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'!$B$45:$H$45</c:f>
              <c:strCache>
                <c:ptCount val="5"/>
                <c:pt idx="0">
                  <c:v>2018</c:v>
                </c:pt>
                <c:pt idx="1">
                  <c:v>2019</c:v>
                </c:pt>
                <c:pt idx="2">
                  <c:v>2020</c:v>
                </c:pt>
                <c:pt idx="3">
                  <c:v>2021</c:v>
                </c:pt>
                <c:pt idx="4">
                  <c:v>2022</c:v>
                </c:pt>
              </c:strCache>
            </c:strRef>
          </c:cat>
          <c:val>
            <c:numRef>
              <c:f>'Kompozimi '!$B$49:$H$49</c:f>
              <c:numCache>
                <c:formatCode>0.0%</c:formatCode>
                <c:ptCount val="5"/>
                <c:pt idx="0">
                  <c:v>0.16228051366334897</c:v>
                </c:pt>
                <c:pt idx="1">
                  <c:v>0.16043650378494348</c:v>
                </c:pt>
                <c:pt idx="2">
                  <c:v>0.15732358739771113</c:v>
                </c:pt>
                <c:pt idx="3">
                  <c:v>0.17031528009848423</c:v>
                </c:pt>
                <c:pt idx="4">
                  <c:v>0.17373216008494421</c:v>
                </c:pt>
              </c:numCache>
            </c:numRef>
          </c:val>
          <c:extLst>
            <c:ext xmlns:c16="http://schemas.microsoft.com/office/drawing/2014/chart" uri="{C3380CC4-5D6E-409C-BE32-E72D297353CC}">
              <c16:uniqueId val="{00000003-F05C-4477-BC14-617F3DBE7433}"/>
            </c:ext>
          </c:extLst>
        </c:ser>
        <c:dLbls>
          <c:showLegendKey val="0"/>
          <c:showVal val="0"/>
          <c:showCatName val="0"/>
          <c:showSerName val="0"/>
          <c:showPercent val="0"/>
          <c:showBubbleSize val="0"/>
        </c:dLbls>
        <c:gapWidth val="177"/>
        <c:overlap val="100"/>
        <c:axId val="668412688"/>
        <c:axId val="668423024"/>
      </c:barChart>
      <c:catAx>
        <c:axId val="6684126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3024"/>
        <c:crosses val="autoZero"/>
        <c:auto val="1"/>
        <c:lblAlgn val="ctr"/>
        <c:lblOffset val="100"/>
        <c:noMultiLvlLbl val="0"/>
      </c:catAx>
      <c:valAx>
        <c:axId val="668423024"/>
        <c:scaling>
          <c:orientation val="minMax"/>
          <c:max val="1"/>
          <c:min val="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12688"/>
        <c:crosses val="autoZero"/>
        <c:crossBetween val="between"/>
        <c:majorUnit val="0.2"/>
      </c:valAx>
      <c:spPr>
        <a:noFill/>
        <a:ln>
          <a:noFill/>
        </a:ln>
        <a:effectLst/>
      </c:spPr>
    </c:plotArea>
    <c:legend>
      <c:legendPos val="b"/>
      <c:layout>
        <c:manualLayout>
          <c:xMode val="edge"/>
          <c:yMode val="edge"/>
          <c:x val="6.5199938243013733E-2"/>
          <c:y val="0.88275483857200776"/>
          <c:w val="0.91847357315629663"/>
          <c:h val="9.014489042528221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'Kompozimi sipas interesit'!$A$33</c:f>
              <c:strCache>
                <c:ptCount val="1"/>
                <c:pt idx="0">
                  <c:v>Fiks</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'Kompozimi sipas interesit'!$B$32:$H$32</c:f>
              <c:numCache>
                <c:formatCode>General</c:formatCode>
                <c:ptCount val="5"/>
                <c:pt idx="0">
                  <c:v>2018</c:v>
                </c:pt>
                <c:pt idx="1">
                  <c:v>2019</c:v>
                </c:pt>
                <c:pt idx="2">
                  <c:v>2020</c:v>
                </c:pt>
                <c:pt idx="3">
                  <c:v>2021</c:v>
                </c:pt>
                <c:pt idx="4">
                  <c:v>2022</c:v>
                </c:pt>
              </c:numCache>
            </c:numRef>
          </c:cat>
          <c:val>
            <c:numRef>
              <c:f>'Kompozimi sipas interesit'!$B$33:$H$33</c:f>
              <c:numCache>
                <c:formatCode>0.0%</c:formatCode>
                <c:ptCount val="5"/>
                <c:pt idx="0">
                  <c:v>0.74382834026204292</c:v>
                </c:pt>
                <c:pt idx="1">
                  <c:v>0.7537215460889195</c:v>
                </c:pt>
                <c:pt idx="2">
                  <c:v>0.77504646402231425</c:v>
                </c:pt>
                <c:pt idx="3">
                  <c:v>0.80349971254777952</c:v>
                </c:pt>
                <c:pt idx="4">
                  <c:v>0.82035579993624164</c:v>
                </c:pt>
              </c:numCache>
            </c:numRef>
          </c:val>
          <c:extLst>
            <c:ext xmlns:c16="http://schemas.microsoft.com/office/drawing/2014/chart" uri="{C3380CC4-5D6E-409C-BE32-E72D297353CC}">
              <c16:uniqueId val="{00000000-CACF-4941-9C2D-CA8378427BB0}"/>
            </c:ext>
          </c:extLst>
        </c:ser>
        <c:ser>
          <c:idx val="1"/>
          <c:order val="1"/>
          <c:tx>
            <c:strRef>
              <c:f>'Kompozimi sipas interesit'!$A$34</c:f>
              <c:strCache>
                <c:ptCount val="1"/>
                <c:pt idx="0">
                  <c:v>Me norma të ndryshueshme</c:v>
                </c:pt>
              </c:strCache>
            </c:strRef>
          </c:tx>
          <c:spPr>
            <a:solidFill>
              <a:schemeClr val="bg1">
                <a:lumMod val="8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'Kompozimi sipas interesit'!$B$32:$H$32</c:f>
              <c:numCache>
                <c:formatCode>General</c:formatCode>
                <c:ptCount val="5"/>
                <c:pt idx="0">
                  <c:v>2018</c:v>
                </c:pt>
                <c:pt idx="1">
                  <c:v>2019</c:v>
                </c:pt>
                <c:pt idx="2">
                  <c:v>2020</c:v>
                </c:pt>
                <c:pt idx="3">
                  <c:v>2021</c:v>
                </c:pt>
                <c:pt idx="4">
                  <c:v>2022</c:v>
                </c:pt>
              </c:numCache>
            </c:numRef>
          </c:cat>
          <c:val>
            <c:numRef>
              <c:f>'Kompozimi sipas interesit'!$B$34:$H$34</c:f>
              <c:numCache>
                <c:formatCode>0.0%</c:formatCode>
                <c:ptCount val="5"/>
                <c:pt idx="0">
                  <c:v>0.25617165973795708</c:v>
                </c:pt>
                <c:pt idx="1">
                  <c:v>0.24627845391108058</c:v>
                </c:pt>
                <c:pt idx="2">
                  <c:v>0.22495353597768572</c:v>
                </c:pt>
                <c:pt idx="3">
                  <c:v>0.19650028745222053</c:v>
                </c:pt>
                <c:pt idx="4">
                  <c:v>0.17964420006375822</c:v>
                </c:pt>
              </c:numCache>
            </c:numRef>
          </c:val>
          <c:extLst>
            <c:ext xmlns:c16="http://schemas.microsoft.com/office/drawing/2014/chart" uri="{C3380CC4-5D6E-409C-BE32-E72D297353CC}">
              <c16:uniqueId val="{00000001-CACF-4941-9C2D-CA8378427BB0}"/>
            </c:ext>
          </c:extLst>
        </c:ser>
        <c:dLbls>
          <c:showLegendKey val="0"/>
          <c:showVal val="0"/>
          <c:showCatName val="0"/>
          <c:showSerName val="0"/>
          <c:showPercent val="0"/>
          <c:showBubbleSize val="0"/>
        </c:dLbls>
        <c:gapWidth val="80"/>
        <c:overlap val="100"/>
        <c:axId val="668423568"/>
        <c:axId val="668424656"/>
      </c:barChart>
      <c:catAx>
        <c:axId val="6684235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4656"/>
        <c:crosses val="autoZero"/>
        <c:auto val="1"/>
        <c:lblAlgn val="ctr"/>
        <c:lblOffset val="100"/>
        <c:noMultiLvlLbl val="0"/>
      </c:catAx>
      <c:valAx>
        <c:axId val="668424656"/>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3568"/>
        <c:crosses val="autoZero"/>
        <c:crossBetween val="between"/>
        <c:majorUnit val="0.2"/>
      </c:valAx>
      <c:spPr>
        <a:noFill/>
        <a:ln>
          <a:noFill/>
        </a:ln>
        <a:effectLst/>
      </c:spPr>
    </c:plotArea>
    <c:legend>
      <c:legendPos val="b"/>
      <c:layout>
        <c:manualLayout>
          <c:xMode val="edge"/>
          <c:yMode val="edge"/>
          <c:x val="0.21599151401411615"/>
          <c:y val="0.86180489938757654"/>
          <c:w val="0.68407914813757087"/>
          <c:h val="9.375065616797900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20382685324956"/>
          <c:y val="6.1111111111111109E-2"/>
          <c:w val="0.83849047366488516"/>
          <c:h val="0.66973053368328961"/>
        </c:manualLayout>
      </c:layout>
      <c:barChart>
        <c:barDir val="col"/>
        <c:grouping val="stacked"/>
        <c:varyColors val="0"/>
        <c:ser>
          <c:idx val="0"/>
          <c:order val="0"/>
          <c:tx>
            <c:strRef>
              <c:f>'BB sipas titujve'!$A$23</c:f>
              <c:strCache>
                <c:ptCount val="1"/>
                <c:pt idx="0">
                  <c:v>Deri në 1 vit</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titujve'!$B$22:$H$22</c:f>
              <c:strCache>
                <c:ptCount val="5"/>
                <c:pt idx="0">
                  <c:v>2018</c:v>
                </c:pt>
                <c:pt idx="1">
                  <c:v>2019</c:v>
                </c:pt>
                <c:pt idx="2">
                  <c:v>2020</c:v>
                </c:pt>
                <c:pt idx="3">
                  <c:v>2021</c:v>
                </c:pt>
                <c:pt idx="4">
                  <c:v>2022</c:v>
                </c:pt>
              </c:strCache>
            </c:strRef>
          </c:cat>
          <c:val>
            <c:numRef>
              <c:f>'BB sipas titujve'!$B$23:$H$23</c:f>
              <c:numCache>
                <c:formatCode>0.0%</c:formatCode>
                <c:ptCount val="5"/>
                <c:pt idx="0">
                  <c:v>0.3442709566429682</c:v>
                </c:pt>
                <c:pt idx="1">
                  <c:v>0.33280782747200321</c:v>
                </c:pt>
                <c:pt idx="2">
                  <c:v>0.31775421977996743</c:v>
                </c:pt>
                <c:pt idx="3">
                  <c:v>0.2977131737423338</c:v>
                </c:pt>
                <c:pt idx="4">
                  <c:v>0.33739686993479201</c:v>
                </c:pt>
              </c:numCache>
            </c:numRef>
          </c:val>
          <c:extLst>
            <c:ext xmlns:c16="http://schemas.microsoft.com/office/drawing/2014/chart" uri="{C3380CC4-5D6E-409C-BE32-E72D297353CC}">
              <c16:uniqueId val="{00000000-7447-4BBD-BE0A-A4A8D4EDE943}"/>
            </c:ext>
          </c:extLst>
        </c:ser>
        <c:ser>
          <c:idx val="1"/>
          <c:order val="1"/>
          <c:tx>
            <c:strRef>
              <c:f>'BB sipas titujve'!$A$24</c:f>
              <c:strCache>
                <c:ptCount val="1"/>
                <c:pt idx="0">
                  <c:v>1 deri në 3 vite</c:v>
                </c:pt>
              </c:strCache>
            </c:strRef>
          </c:tx>
          <c:spPr>
            <a:solidFill>
              <a:schemeClr val="accent1">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titujve'!$B$22:$H$22</c:f>
              <c:strCache>
                <c:ptCount val="5"/>
                <c:pt idx="0">
                  <c:v>2018</c:v>
                </c:pt>
                <c:pt idx="1">
                  <c:v>2019</c:v>
                </c:pt>
                <c:pt idx="2">
                  <c:v>2020</c:v>
                </c:pt>
                <c:pt idx="3">
                  <c:v>2021</c:v>
                </c:pt>
                <c:pt idx="4">
                  <c:v>2022</c:v>
                </c:pt>
              </c:strCache>
            </c:strRef>
          </c:cat>
          <c:val>
            <c:numRef>
              <c:f>'BB sipas titujve'!$B$24:$H$24</c:f>
              <c:numCache>
                <c:formatCode>0.0%</c:formatCode>
                <c:ptCount val="5"/>
                <c:pt idx="0">
                  <c:v>0.211345530552463</c:v>
                </c:pt>
                <c:pt idx="1">
                  <c:v>0.19409928641828114</c:v>
                </c:pt>
                <c:pt idx="2">
                  <c:v>0.22323347449328904</c:v>
                </c:pt>
                <c:pt idx="3">
                  <c:v>0.23831912828720589</c:v>
                </c:pt>
                <c:pt idx="4">
                  <c:v>0.21546434005470042</c:v>
                </c:pt>
              </c:numCache>
            </c:numRef>
          </c:val>
          <c:extLst>
            <c:ext xmlns:c16="http://schemas.microsoft.com/office/drawing/2014/chart" uri="{C3380CC4-5D6E-409C-BE32-E72D297353CC}">
              <c16:uniqueId val="{00000001-7447-4BBD-BE0A-A4A8D4EDE943}"/>
            </c:ext>
          </c:extLst>
        </c:ser>
        <c:ser>
          <c:idx val="2"/>
          <c:order val="2"/>
          <c:tx>
            <c:strRef>
              <c:f>'BB sipas titujve'!$A$25</c:f>
              <c:strCache>
                <c:ptCount val="1"/>
                <c:pt idx="0">
                  <c:v>3 deri në 5 vite</c:v>
                </c:pt>
              </c:strCache>
            </c:strRef>
          </c:tx>
          <c:spPr>
            <a:solidFill>
              <a:schemeClr val="accent1">
                <a:lumMod val="40000"/>
                <a:lumOff val="6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titujve'!$B$22:$H$22</c:f>
              <c:strCache>
                <c:ptCount val="5"/>
                <c:pt idx="0">
                  <c:v>2018</c:v>
                </c:pt>
                <c:pt idx="1">
                  <c:v>2019</c:v>
                </c:pt>
                <c:pt idx="2">
                  <c:v>2020</c:v>
                </c:pt>
                <c:pt idx="3">
                  <c:v>2021</c:v>
                </c:pt>
                <c:pt idx="4">
                  <c:v>2022</c:v>
                </c:pt>
              </c:strCache>
            </c:strRef>
          </c:cat>
          <c:val>
            <c:numRef>
              <c:f>'BB sipas titujve'!$B$25:$H$25</c:f>
              <c:numCache>
                <c:formatCode>0.0%</c:formatCode>
                <c:ptCount val="5"/>
                <c:pt idx="0">
                  <c:v>0.17920198206823099</c:v>
                </c:pt>
                <c:pt idx="1">
                  <c:v>0.18478358708844891</c:v>
                </c:pt>
                <c:pt idx="2">
                  <c:v>0.17888171080938328</c:v>
                </c:pt>
                <c:pt idx="3">
                  <c:v>0.17345296226299609</c:v>
                </c:pt>
                <c:pt idx="4">
                  <c:v>0.14731543319295343</c:v>
                </c:pt>
              </c:numCache>
            </c:numRef>
          </c:val>
          <c:extLst>
            <c:ext xmlns:c16="http://schemas.microsoft.com/office/drawing/2014/chart" uri="{C3380CC4-5D6E-409C-BE32-E72D297353CC}">
              <c16:uniqueId val="{00000002-7447-4BBD-BE0A-A4A8D4EDE943}"/>
            </c:ext>
          </c:extLst>
        </c:ser>
        <c:ser>
          <c:idx val="3"/>
          <c:order val="3"/>
          <c:tx>
            <c:strRef>
              <c:f>'BB sipas titujve'!$A$26</c:f>
              <c:strCache>
                <c:ptCount val="1"/>
                <c:pt idx="0">
                  <c:v>Mbi 5 vite</c:v>
                </c:pt>
              </c:strCache>
            </c:strRef>
          </c:tx>
          <c:spPr>
            <a:gradFill flip="none" rotWithShape="1">
              <a:gsLst>
                <a:gs pos="0">
                  <a:sysClr val="window" lastClr="FFFFFF">
                    <a:lumMod val="95000"/>
                    <a:shade val="30000"/>
                    <a:satMod val="115000"/>
                  </a:sysClr>
                </a:gs>
                <a:gs pos="50000">
                  <a:sysClr val="window" lastClr="FFFFFF">
                    <a:lumMod val="95000"/>
                    <a:shade val="67500"/>
                    <a:satMod val="115000"/>
                  </a:sysClr>
                </a:gs>
                <a:gs pos="100000">
                  <a:sysClr val="window" lastClr="FFFFFF">
                    <a:lumMod val="95000"/>
                    <a:shade val="100000"/>
                    <a:satMod val="115000"/>
                  </a:sysClr>
                </a:gs>
              </a:gsLst>
              <a:lin ang="2700000" scaled="1"/>
              <a:tileRect/>
            </a:gra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titujve'!$B$22:$H$22</c:f>
              <c:strCache>
                <c:ptCount val="5"/>
                <c:pt idx="0">
                  <c:v>2018</c:v>
                </c:pt>
                <c:pt idx="1">
                  <c:v>2019</c:v>
                </c:pt>
                <c:pt idx="2">
                  <c:v>2020</c:v>
                </c:pt>
                <c:pt idx="3">
                  <c:v>2021</c:v>
                </c:pt>
                <c:pt idx="4">
                  <c:v>2022</c:v>
                </c:pt>
              </c:strCache>
            </c:strRef>
          </c:cat>
          <c:val>
            <c:numRef>
              <c:f>'BB sipas titujve'!$B$26:$H$26</c:f>
              <c:numCache>
                <c:formatCode>0.0%</c:formatCode>
                <c:ptCount val="5"/>
                <c:pt idx="0">
                  <c:v>0.26518153073633771</c:v>
                </c:pt>
                <c:pt idx="1">
                  <c:v>0.28830929902126662</c:v>
                </c:pt>
                <c:pt idx="2">
                  <c:v>0.28013059491736025</c:v>
                </c:pt>
                <c:pt idx="3">
                  <c:v>0.29051473570746428</c:v>
                </c:pt>
                <c:pt idx="4">
                  <c:v>0.29982335681755418</c:v>
                </c:pt>
              </c:numCache>
            </c:numRef>
          </c:val>
          <c:extLst>
            <c:ext xmlns:c16="http://schemas.microsoft.com/office/drawing/2014/chart" uri="{C3380CC4-5D6E-409C-BE32-E72D297353CC}">
              <c16:uniqueId val="{00000003-7447-4BBD-BE0A-A4A8D4EDE943}"/>
            </c:ext>
          </c:extLst>
        </c:ser>
        <c:dLbls>
          <c:showLegendKey val="0"/>
          <c:showVal val="0"/>
          <c:showCatName val="0"/>
          <c:showSerName val="0"/>
          <c:showPercent val="0"/>
          <c:showBubbleSize val="0"/>
        </c:dLbls>
        <c:gapWidth val="80"/>
        <c:overlap val="100"/>
        <c:axId val="668425200"/>
        <c:axId val="668431728"/>
      </c:barChart>
      <c:catAx>
        <c:axId val="6684252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31728"/>
        <c:crosses val="autoZero"/>
        <c:auto val="1"/>
        <c:lblAlgn val="ctr"/>
        <c:lblOffset val="100"/>
        <c:noMultiLvlLbl val="0"/>
      </c:catAx>
      <c:valAx>
        <c:axId val="668431728"/>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5200"/>
        <c:crosses val="autoZero"/>
        <c:crossBetween val="between"/>
        <c:majorUnit val="0.2"/>
      </c:valAx>
      <c:spPr>
        <a:noFill/>
        <a:ln>
          <a:noFill/>
        </a:ln>
        <a:effectLst/>
      </c:spPr>
    </c:plotArea>
    <c:legend>
      <c:legendPos val="b"/>
      <c:layout>
        <c:manualLayout>
          <c:xMode val="edge"/>
          <c:yMode val="edge"/>
          <c:x val="0.12960515124476243"/>
          <c:y val="0.84028740157480331"/>
          <c:w val="0.73018644041264225"/>
          <c:h val="0.1309356955380577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81889763779527"/>
          <c:y val="5.7456254896839906E-2"/>
          <c:w val="0.85965217674237004"/>
          <c:h val="0.73322859322657796"/>
        </c:manualLayout>
      </c:layout>
      <c:barChart>
        <c:barDir val="col"/>
        <c:grouping val="percentStacked"/>
        <c:varyColors val="0"/>
        <c:ser>
          <c:idx val="0"/>
          <c:order val="0"/>
          <c:tx>
            <c:strRef>
              <c:f>'Kompozimi sipas interesit'!$A$21</c:f>
              <c:strCache>
                <c:ptCount val="1"/>
                <c:pt idx="0">
                  <c:v>Fiks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'Kompozimi sipas interesit'!$B$20:$H$20</c:f>
              <c:numCache>
                <c:formatCode>General</c:formatCode>
                <c:ptCount val="5"/>
                <c:pt idx="0">
                  <c:v>2018</c:v>
                </c:pt>
                <c:pt idx="1">
                  <c:v>2019</c:v>
                </c:pt>
                <c:pt idx="2">
                  <c:v>2020</c:v>
                </c:pt>
                <c:pt idx="3">
                  <c:v>2021</c:v>
                </c:pt>
                <c:pt idx="4">
                  <c:v>2022</c:v>
                </c:pt>
              </c:numCache>
            </c:numRef>
          </c:cat>
          <c:val>
            <c:numRef>
              <c:f>'Kompozimi sipas interesit'!$B$21:$H$21</c:f>
              <c:numCache>
                <c:formatCode>0.0%</c:formatCode>
                <c:ptCount val="5"/>
                <c:pt idx="0">
                  <c:v>0.52621890666633608</c:v>
                </c:pt>
                <c:pt idx="1">
                  <c:v>0.51683051110632583</c:v>
                </c:pt>
                <c:pt idx="2">
                  <c:v>0.54825421035407129</c:v>
                </c:pt>
                <c:pt idx="3">
                  <c:v>0.61621651799833654</c:v>
                </c:pt>
                <c:pt idx="4">
                  <c:v>0.62877445198052107</c:v>
                </c:pt>
              </c:numCache>
            </c:numRef>
          </c:val>
          <c:extLst>
            <c:ext xmlns:c16="http://schemas.microsoft.com/office/drawing/2014/chart" uri="{C3380CC4-5D6E-409C-BE32-E72D297353CC}">
              <c16:uniqueId val="{00000000-4E52-446C-875A-DD534A15C5FC}"/>
            </c:ext>
          </c:extLst>
        </c:ser>
        <c:ser>
          <c:idx val="1"/>
          <c:order val="1"/>
          <c:tx>
            <c:strRef>
              <c:f>'Kompozimi sipas interesit'!$A$22</c:f>
              <c:strCache>
                <c:ptCount val="1"/>
                <c:pt idx="0">
                  <c:v>Me norma të ndryshueshme</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'Kompozimi sipas interesit'!$B$20:$H$20</c:f>
              <c:numCache>
                <c:formatCode>General</c:formatCode>
                <c:ptCount val="5"/>
                <c:pt idx="0">
                  <c:v>2018</c:v>
                </c:pt>
                <c:pt idx="1">
                  <c:v>2019</c:v>
                </c:pt>
                <c:pt idx="2">
                  <c:v>2020</c:v>
                </c:pt>
                <c:pt idx="3">
                  <c:v>2021</c:v>
                </c:pt>
                <c:pt idx="4">
                  <c:v>2022</c:v>
                </c:pt>
              </c:numCache>
            </c:numRef>
          </c:cat>
          <c:val>
            <c:numRef>
              <c:f>'Kompozimi sipas interesit'!$B$22:$H$22</c:f>
              <c:numCache>
                <c:formatCode>0.0%</c:formatCode>
                <c:ptCount val="5"/>
                <c:pt idx="0">
                  <c:v>0.47378109333366392</c:v>
                </c:pt>
                <c:pt idx="1">
                  <c:v>0.48316948889367417</c:v>
                </c:pt>
                <c:pt idx="2">
                  <c:v>0.45174578964592865</c:v>
                </c:pt>
                <c:pt idx="3">
                  <c:v>0.3837834820016634</c:v>
                </c:pt>
                <c:pt idx="4">
                  <c:v>0.37122554801947893</c:v>
                </c:pt>
              </c:numCache>
            </c:numRef>
          </c:val>
          <c:extLst>
            <c:ext xmlns:c16="http://schemas.microsoft.com/office/drawing/2014/chart" uri="{C3380CC4-5D6E-409C-BE32-E72D297353CC}">
              <c16:uniqueId val="{00000001-4E52-446C-875A-DD534A15C5FC}"/>
            </c:ext>
          </c:extLst>
        </c:ser>
        <c:dLbls>
          <c:showLegendKey val="0"/>
          <c:showVal val="0"/>
          <c:showCatName val="0"/>
          <c:showSerName val="0"/>
          <c:showPercent val="0"/>
          <c:showBubbleSize val="0"/>
        </c:dLbls>
        <c:gapWidth val="80"/>
        <c:overlap val="100"/>
        <c:axId val="668429552"/>
        <c:axId val="668412144"/>
      </c:barChart>
      <c:catAx>
        <c:axId val="6684295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12144"/>
        <c:crosses val="autoZero"/>
        <c:auto val="1"/>
        <c:lblAlgn val="ctr"/>
        <c:lblOffset val="100"/>
        <c:noMultiLvlLbl val="0"/>
      </c:catAx>
      <c:valAx>
        <c:axId val="668412144"/>
        <c:scaling>
          <c:orientation val="minMax"/>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2955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67147856517928E-2"/>
          <c:y val="5.0925925925925923E-2"/>
          <c:w val="0.87232174103237092"/>
          <c:h val="0.72863538309996456"/>
        </c:manualLayout>
      </c:layout>
      <c:barChart>
        <c:barDir val="col"/>
        <c:grouping val="percentStacked"/>
        <c:varyColors val="0"/>
        <c:ser>
          <c:idx val="0"/>
          <c:order val="0"/>
          <c:tx>
            <c:strRef>
              <c:f>'B.Jashtem sipas instr'!$A$13</c:f>
              <c:strCache>
                <c:ptCount val="1"/>
                <c:pt idx="0">
                  <c:v>Kredi</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instr'!$C$12:$H$12</c:f>
              <c:strCache>
                <c:ptCount val="5"/>
                <c:pt idx="0">
                  <c:v>2018</c:v>
                </c:pt>
                <c:pt idx="1">
                  <c:v>2019</c:v>
                </c:pt>
                <c:pt idx="2">
                  <c:v>2020</c:v>
                </c:pt>
                <c:pt idx="3">
                  <c:v>2021</c:v>
                </c:pt>
                <c:pt idx="4">
                  <c:v>2022</c:v>
                </c:pt>
              </c:strCache>
            </c:strRef>
          </c:cat>
          <c:val>
            <c:numRef>
              <c:f>'B.Jashtem sipas instr'!$C$13:$H$13</c:f>
              <c:numCache>
                <c:formatCode>0.0%</c:formatCode>
                <c:ptCount val="5"/>
                <c:pt idx="0">
                  <c:v>0.53914670138026288</c:v>
                </c:pt>
                <c:pt idx="1">
                  <c:v>0.54409157434764577</c:v>
                </c:pt>
                <c:pt idx="2">
                  <c:v>0.47132575321232667</c:v>
                </c:pt>
                <c:pt idx="3">
                  <c:v>0.39211358445332251</c:v>
                </c:pt>
                <c:pt idx="4">
                  <c:v>0.37905002533491722</c:v>
                </c:pt>
              </c:numCache>
            </c:numRef>
          </c:val>
          <c:extLst>
            <c:ext xmlns:c16="http://schemas.microsoft.com/office/drawing/2014/chart" uri="{C3380CC4-5D6E-409C-BE32-E72D297353CC}">
              <c16:uniqueId val="{00000000-0ED5-4306-9A98-07FE9996DBD4}"/>
            </c:ext>
          </c:extLst>
        </c:ser>
        <c:ser>
          <c:idx val="1"/>
          <c:order val="1"/>
          <c:tx>
            <c:strRef>
              <c:f>'B.Jashtem sipas instr'!$A$14</c:f>
              <c:strCache>
                <c:ptCount val="1"/>
                <c:pt idx="0">
                  <c:v>Mbështetje buxhetore</c:v>
                </c:pt>
              </c:strCache>
            </c:strRef>
          </c:tx>
          <c:spPr>
            <a:solidFill>
              <a:schemeClr val="accent1">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instr'!$C$12:$H$12</c:f>
              <c:strCache>
                <c:ptCount val="5"/>
                <c:pt idx="0">
                  <c:v>2018</c:v>
                </c:pt>
                <c:pt idx="1">
                  <c:v>2019</c:v>
                </c:pt>
                <c:pt idx="2">
                  <c:v>2020</c:v>
                </c:pt>
                <c:pt idx="3">
                  <c:v>2021</c:v>
                </c:pt>
                <c:pt idx="4">
                  <c:v>2022</c:v>
                </c:pt>
              </c:strCache>
            </c:strRef>
          </c:cat>
          <c:val>
            <c:numRef>
              <c:f>'B.Jashtem sipas instr'!$C$14:$H$14</c:f>
              <c:numCache>
                <c:formatCode>0.0%</c:formatCode>
                <c:ptCount val="5"/>
                <c:pt idx="0">
                  <c:v>0.21987866803136147</c:v>
                </c:pt>
                <c:pt idx="1">
                  <c:v>0.21888377858205368</c:v>
                </c:pt>
                <c:pt idx="2">
                  <c:v>0.2219431347783323</c:v>
                </c:pt>
                <c:pt idx="3">
                  <c:v>0.23567850988798214</c:v>
                </c:pt>
                <c:pt idx="4">
                  <c:v>0.24851458801476856</c:v>
                </c:pt>
              </c:numCache>
            </c:numRef>
          </c:val>
          <c:extLst>
            <c:ext xmlns:c16="http://schemas.microsoft.com/office/drawing/2014/chart" uri="{C3380CC4-5D6E-409C-BE32-E72D297353CC}">
              <c16:uniqueId val="{00000002-0ED5-4306-9A98-07FE9996DBD4}"/>
            </c:ext>
          </c:extLst>
        </c:ser>
        <c:ser>
          <c:idx val="2"/>
          <c:order val="2"/>
          <c:tx>
            <c:strRef>
              <c:f>'B.Jashtem sipas instr'!$A$15</c:f>
              <c:strCache>
                <c:ptCount val="1"/>
                <c:pt idx="0">
                  <c:v>Eurobond</c:v>
                </c:pt>
              </c:strCache>
            </c:strRef>
          </c:tx>
          <c:spPr>
            <a:solidFill>
              <a:sysClr val="window" lastClr="FFFFFF">
                <a:lumMod val="85000"/>
              </a:sysClr>
            </a:solidFill>
            <a:ln>
              <a:noFill/>
            </a:ln>
            <a:effectLst/>
          </c:spPr>
          <c:invertIfNegative val="0"/>
          <c:dLbls>
            <c:dLbl>
              <c:idx val="3"/>
              <c:layout>
                <c:manualLayout>
                  <c:x val="0"/>
                  <c:y val="1.3888888888888888E-2"/>
                </c:manualLayout>
              </c:layout>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3-0ED5-4306-9A98-07FE9996DBD4}"/>
                </c:ext>
              </c:extLst>
            </c:dLbl>
            <c:dLbl>
              <c:idx val="4"/>
              <c:layout>
                <c:manualLayout>
                  <c:x val="-5.5555555555555558E-3"/>
                  <c:y val="1.8518518518518517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0ED5-4306-9A98-07FE9996DBD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instr'!$C$12:$H$12</c:f>
              <c:strCache>
                <c:ptCount val="5"/>
                <c:pt idx="0">
                  <c:v>2018</c:v>
                </c:pt>
                <c:pt idx="1">
                  <c:v>2019</c:v>
                </c:pt>
                <c:pt idx="2">
                  <c:v>2020</c:v>
                </c:pt>
                <c:pt idx="3">
                  <c:v>2021</c:v>
                </c:pt>
                <c:pt idx="4">
                  <c:v>2022</c:v>
                </c:pt>
              </c:strCache>
            </c:strRef>
          </c:cat>
          <c:val>
            <c:numRef>
              <c:f>'B.Jashtem sipas instr'!$C$15:$H$15</c:f>
              <c:numCache>
                <c:formatCode>0.0%</c:formatCode>
                <c:ptCount val="5"/>
                <c:pt idx="0">
                  <c:v>0.18632059066111512</c:v>
                </c:pt>
                <c:pt idx="1">
                  <c:v>0.18712472137128988</c:v>
                </c:pt>
                <c:pt idx="2">
                  <c:v>0.26128946578573492</c:v>
                </c:pt>
                <c:pt idx="3">
                  <c:v>0.33498711509282586</c:v>
                </c:pt>
                <c:pt idx="4">
                  <c:v>0.33519184798528284</c:v>
                </c:pt>
              </c:numCache>
            </c:numRef>
          </c:val>
          <c:extLst>
            <c:ext xmlns:c16="http://schemas.microsoft.com/office/drawing/2014/chart" uri="{C3380CC4-5D6E-409C-BE32-E72D297353CC}">
              <c16:uniqueId val="{00000005-0ED5-4306-9A98-07FE9996DBD4}"/>
            </c:ext>
          </c:extLst>
        </c:ser>
        <c:ser>
          <c:idx val="3"/>
          <c:order val="3"/>
          <c:tx>
            <c:strRef>
              <c:f>'B.Jashtem sipas instr'!$A$16</c:f>
              <c:strCache>
                <c:ptCount val="1"/>
                <c:pt idx="0">
                  <c:v>PBG</c:v>
                </c:pt>
              </c:strCache>
            </c:strRef>
          </c:tx>
          <c:spPr>
            <a:solidFill>
              <a:srgbClr val="5B9BD5">
                <a:lumMod val="20000"/>
                <a:lumOff val="80000"/>
              </a:srgbClr>
            </a:solidFill>
            <a:ln>
              <a:noFill/>
            </a:ln>
            <a:effectLst/>
          </c:spPr>
          <c:invertIfNegative val="0"/>
          <c:dLbls>
            <c:dLbl>
              <c:idx val="1"/>
              <c:layout>
                <c:manualLayout>
                  <c:x val="-1.0303123017562329E-16"/>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D5-4306-9A98-07FE9996DBD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instr'!$C$12:$H$12</c:f>
              <c:strCache>
                <c:ptCount val="5"/>
                <c:pt idx="0">
                  <c:v>2018</c:v>
                </c:pt>
                <c:pt idx="1">
                  <c:v>2019</c:v>
                </c:pt>
                <c:pt idx="2">
                  <c:v>2020</c:v>
                </c:pt>
                <c:pt idx="3">
                  <c:v>2021</c:v>
                </c:pt>
                <c:pt idx="4">
                  <c:v>2022</c:v>
                </c:pt>
              </c:strCache>
            </c:strRef>
          </c:cat>
          <c:val>
            <c:numRef>
              <c:f>'B.Jashtem sipas instr'!$C$16:$H$16</c:f>
              <c:numCache>
                <c:formatCode>0.0%</c:formatCode>
                <c:ptCount val="5"/>
                <c:pt idx="0">
                  <c:v>5.465403992726043E-2</c:v>
                </c:pt>
                <c:pt idx="1">
                  <c:v>4.9899925699010632E-2</c:v>
                </c:pt>
                <c:pt idx="2">
                  <c:v>4.5441646223606073E-2</c:v>
                </c:pt>
                <c:pt idx="3">
                  <c:v>3.7220790565869535E-2</c:v>
                </c:pt>
                <c:pt idx="4">
                  <c:v>3.7243538665031425E-2</c:v>
                </c:pt>
              </c:numCache>
            </c:numRef>
          </c:val>
          <c:extLst>
            <c:ext xmlns:c16="http://schemas.microsoft.com/office/drawing/2014/chart" uri="{C3380CC4-5D6E-409C-BE32-E72D297353CC}">
              <c16:uniqueId val="{00000008-0ED5-4306-9A98-07FE9996DBD4}"/>
            </c:ext>
          </c:extLst>
        </c:ser>
        <c:dLbls>
          <c:showLegendKey val="0"/>
          <c:showVal val="0"/>
          <c:showCatName val="0"/>
          <c:showSerName val="0"/>
          <c:showPercent val="0"/>
          <c:showBubbleSize val="0"/>
        </c:dLbls>
        <c:gapWidth val="80"/>
        <c:overlap val="100"/>
        <c:axId val="668433904"/>
        <c:axId val="668417584"/>
      </c:barChart>
      <c:catAx>
        <c:axId val="668433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17584"/>
        <c:crosses val="autoZero"/>
        <c:auto val="1"/>
        <c:lblAlgn val="ctr"/>
        <c:lblOffset val="100"/>
        <c:noMultiLvlLbl val="0"/>
      </c:catAx>
      <c:valAx>
        <c:axId val="668417584"/>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8433904"/>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a:solidFill>
                  <a:sysClr val="windowText" lastClr="000000"/>
                </a:solidFill>
              </a:rPr>
              <a:t>Borxhi i Brendshëm</a:t>
            </a:r>
          </a:p>
        </c:rich>
      </c:tx>
      <c:layout>
        <c:manualLayout>
          <c:xMode val="edge"/>
          <c:yMode val="edge"/>
          <c:x val="0.2725462378427187"/>
          <c:y val="0"/>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4970885261858825"/>
          <c:y val="9.007092198581558E-2"/>
          <c:w val="0.44869921872010898"/>
          <c:h val="0.81863740436700727"/>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4DDC-4C0A-90CB-7C09169ED36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4DDC-4C0A-90CB-7C09169ED36E}"/>
              </c:ext>
            </c:extLst>
          </c:dPt>
          <c:dLbls>
            <c:dLbl>
              <c:idx val="1"/>
              <c:layout>
                <c:manualLayout>
                  <c:x val="-0.20183329110470102"/>
                  <c:y val="0.103092783505154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DC-4C0A-90CB-7C09169ED3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'B.Shteteror sipas Monedhes '!$A$6:$A$7</c:f>
              <c:strCache>
                <c:ptCount val="2"/>
                <c:pt idx="0">
                  <c:v>LEK</c:v>
                </c:pt>
                <c:pt idx="1">
                  <c:v>EUR</c:v>
                </c:pt>
              </c:strCache>
            </c:strRef>
          </c:cat>
          <c:val>
            <c:numRef>
              <c:f>'B.Shteteror sipas Monedhes '!$X$6:$X$7</c:f>
              <c:numCache>
                <c:formatCode>0.0%</c:formatCode>
                <c:ptCount val="2"/>
                <c:pt idx="0">
                  <c:v>0.98882670337927026</c:v>
                </c:pt>
                <c:pt idx="1">
                  <c:v>1.1173296620729816E-2</c:v>
                </c:pt>
              </c:numCache>
            </c:numRef>
          </c:val>
          <c:extLst>
            <c:ext xmlns:c16="http://schemas.microsoft.com/office/drawing/2014/chart" uri="{C3380CC4-5D6E-409C-BE32-E72D297353CC}">
              <c16:uniqueId val="{00000004-4DDC-4C0A-90CB-7C09169ED36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a:solidFill>
                  <a:sysClr val="windowText" lastClr="000000"/>
                </a:solidFill>
              </a:rPr>
              <a:t>Borxhi</a:t>
            </a:r>
            <a:r>
              <a:rPr lang="en-US" sz="1100" baseline="0">
                <a:solidFill>
                  <a:sysClr val="windowText" lastClr="000000"/>
                </a:solidFill>
              </a:rPr>
              <a:t> </a:t>
            </a:r>
            <a:r>
              <a:rPr lang="en-US" sz="1050" baseline="0">
                <a:solidFill>
                  <a:sysClr val="windowText" lastClr="000000"/>
                </a:solidFill>
              </a:rPr>
              <a:t>Shtetëror</a:t>
            </a:r>
            <a:r>
              <a:rPr lang="en-US" sz="1100" baseline="0">
                <a:solidFill>
                  <a:sysClr val="windowText" lastClr="000000"/>
                </a:solidFill>
              </a:rPr>
              <a:t> </a:t>
            </a:r>
          </a:p>
        </c:rich>
      </c:tx>
      <c:layout>
        <c:manualLayout>
          <c:xMode val="edge"/>
          <c:yMode val="edge"/>
          <c:x val="0.28312453211389815"/>
          <c:y val="2.130760093557512E-4"/>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8.888414163677992E-2"/>
          <c:y val="0.19188188568186365"/>
          <c:w val="0.76733477258847271"/>
          <c:h val="0.62313629925341762"/>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2011-41AE-A923-EC043AB816F1}"/>
              </c:ext>
            </c:extLst>
          </c:dPt>
          <c:dPt>
            <c:idx val="1"/>
            <c:bubble3D val="0"/>
            <c:spPr>
              <a:solidFill>
                <a:srgbClr val="C0000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2011-41AE-A923-EC043AB816F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2011-41AE-A923-EC043AB816F1}"/>
              </c:ext>
            </c:extLst>
          </c:dPt>
          <c:dPt>
            <c:idx val="3"/>
            <c:bubble3D val="0"/>
            <c:spPr>
              <a:solidFill>
                <a:srgbClr val="7030A0"/>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2011-41AE-A923-EC043AB816F1}"/>
              </c:ext>
            </c:extLst>
          </c:dPt>
          <c:dPt>
            <c:idx val="4"/>
            <c:bubble3D val="0"/>
            <c:spPr>
              <a:solidFill>
                <a:schemeClr val="accent6"/>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2011-41AE-A923-EC043AB816F1}"/>
              </c:ext>
            </c:extLst>
          </c:dPt>
          <c:dLbls>
            <c:dLbl>
              <c:idx val="0"/>
              <c:layout>
                <c:manualLayout>
                  <c:x val="-0.28050707579078388"/>
                  <c:y val="-4.709510455827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11-41AE-A923-EC043AB816F1}"/>
                </c:ext>
              </c:extLst>
            </c:dLbl>
            <c:dLbl>
              <c:idx val="1"/>
              <c:layout>
                <c:manualLayout>
                  <c:x val="0.16845341824434956"/>
                  <c:y val="-0.11142461358996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11-41AE-A923-EC043AB816F1}"/>
                </c:ext>
              </c:extLst>
            </c:dLbl>
            <c:dLbl>
              <c:idx val="3"/>
              <c:layout>
                <c:manualLayout>
                  <c:x val="1.7171536928455279E-2"/>
                  <c:y val="-4.81992628059906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011-41AE-A923-EC043AB816F1}"/>
                </c:ext>
              </c:extLst>
            </c:dLbl>
            <c:dLbl>
              <c:idx val="4"/>
              <c:layout>
                <c:manualLayout>
                  <c:x val="0.12817932549366534"/>
                  <c:y val="8.5556957013343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011-41AE-A923-EC043AB816F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'B.Shteteror sipas Monedhes '!$A$32:$A$36</c:f>
              <c:strCache>
                <c:ptCount val="5"/>
                <c:pt idx="0">
                  <c:v>LEK</c:v>
                </c:pt>
                <c:pt idx="1">
                  <c:v>EUR</c:v>
                </c:pt>
                <c:pt idx="2">
                  <c:v>USD</c:v>
                </c:pt>
                <c:pt idx="3">
                  <c:v>JPY</c:v>
                </c:pt>
                <c:pt idx="4">
                  <c:v>Të tjera</c:v>
                </c:pt>
              </c:strCache>
            </c:strRef>
          </c:cat>
          <c:val>
            <c:numRef>
              <c:f>'B.Shteteror sipas Monedhes '!$O$32:$O$36</c:f>
              <c:numCache>
                <c:formatCode>0.0%</c:formatCode>
                <c:ptCount val="5"/>
                <c:pt idx="0">
                  <c:v>0.52936897440703989</c:v>
                </c:pt>
                <c:pt idx="1">
                  <c:v>0.35277051928955144</c:v>
                </c:pt>
                <c:pt idx="2">
                  <c:v>8.2752247292743983E-2</c:v>
                </c:pt>
                <c:pt idx="3">
                  <c:v>1.0234369822385217E-2</c:v>
                </c:pt>
                <c:pt idx="4">
                  <c:v>2.4873889188279458E-2</c:v>
                </c:pt>
              </c:numCache>
            </c:numRef>
          </c:val>
          <c:extLst>
            <c:ext xmlns:c16="http://schemas.microsoft.com/office/drawing/2014/chart" uri="{C3380CC4-5D6E-409C-BE32-E72D297353CC}">
              <c16:uniqueId val="{0000000A-2011-41AE-A923-EC043AB816F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89872630504520268"/>
          <c:w val="0.9769838863573536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0.65941</cdr:x>
      <cdr:y>0.56253</cdr:y>
    </cdr:from>
    <cdr:to>
      <cdr:x>0.93612</cdr:x>
      <cdr:y>0.65299</cdr:y>
    </cdr:to>
    <cdr:sp macro="" textlink="">
      <cdr:nvSpPr>
        <cdr:cNvPr id="2" name="TextBox 1"/>
        <cdr:cNvSpPr txBox="1"/>
      </cdr:nvSpPr>
      <cdr:spPr>
        <a:xfrm xmlns:a="http://schemas.openxmlformats.org/drawingml/2006/main">
          <a:off x="1962150" y="1140561"/>
          <a:ext cx="823378" cy="1834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a:solidFill>
                <a:srgbClr val="C00000"/>
              </a:solidFill>
            </a:rPr>
            <a:t>Max 40%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E857D-E1CA-44E7-993E-D5A32B94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5708</Words>
  <Characters>32538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Erla Kadiu</dc:creator>
  <cp:keywords/>
  <dc:description/>
  <cp:lastModifiedBy>Xhoana Agolli</cp:lastModifiedBy>
  <cp:revision>8</cp:revision>
  <cp:lastPrinted>2023-01-25T12:09:00Z</cp:lastPrinted>
  <dcterms:created xsi:type="dcterms:W3CDTF">2023-05-05T10:06:00Z</dcterms:created>
  <dcterms:modified xsi:type="dcterms:W3CDTF">2023-05-22T14:28:00Z</dcterms:modified>
</cp:coreProperties>
</file>