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F2705" w14:textId="77777777" w:rsidR="00621761" w:rsidRPr="003F6A45" w:rsidRDefault="00621761" w:rsidP="0082672B">
      <w:pPr>
        <w:pStyle w:val="Leader"/>
        <w:spacing w:line="276" w:lineRule="auto"/>
        <w:rPr>
          <w:rFonts w:ascii="Times New Roman" w:hAnsi="Times New Roman" w:cs="Times New Roman"/>
          <w:color w:val="auto"/>
          <w:sz w:val="24"/>
          <w:szCs w:val="24"/>
          <w:lang w:val="en-US"/>
        </w:rPr>
      </w:pPr>
      <w:r w:rsidRPr="003F6A45">
        <w:rPr>
          <w:rFonts w:ascii="Times New Roman" w:hAnsi="Times New Roman" w:cs="Times New Roman"/>
          <w:color w:val="auto"/>
          <w:sz w:val="24"/>
          <w:szCs w:val="24"/>
          <w:lang w:val="en-US"/>
        </w:rPr>
        <w:t>Republic of Albania</w:t>
      </w:r>
    </w:p>
    <w:p w14:paraId="4428B4B2" w14:textId="77777777" w:rsidR="00621761" w:rsidRPr="003F6A45" w:rsidRDefault="00621761" w:rsidP="0082672B">
      <w:pPr>
        <w:pStyle w:val="Leader"/>
        <w:spacing w:line="276" w:lineRule="auto"/>
        <w:rPr>
          <w:rFonts w:ascii="Times New Roman" w:hAnsi="Times New Roman" w:cs="Times New Roman"/>
          <w:color w:val="auto"/>
          <w:sz w:val="24"/>
          <w:szCs w:val="24"/>
          <w:lang w:val="en-US"/>
        </w:rPr>
      </w:pPr>
      <w:r w:rsidRPr="003F6A45">
        <w:rPr>
          <w:rFonts w:ascii="Times New Roman" w:hAnsi="Times New Roman" w:cs="Times New Roman"/>
          <w:color w:val="auto"/>
          <w:sz w:val="24"/>
          <w:szCs w:val="24"/>
          <w:lang w:val="en-US"/>
        </w:rPr>
        <w:t>Ministry of Finance</w:t>
      </w:r>
    </w:p>
    <w:p w14:paraId="68A8EE3F" w14:textId="77777777" w:rsidR="00946D9A" w:rsidRPr="003F6A45" w:rsidRDefault="00946D9A" w:rsidP="0082672B">
      <w:pPr>
        <w:tabs>
          <w:tab w:val="left" w:pos="-1440"/>
          <w:tab w:val="left" w:pos="-720"/>
        </w:tabs>
        <w:suppressAutoHyphens/>
        <w:ind w:right="144"/>
        <w:jc w:val="center"/>
        <w:rPr>
          <w:rFonts w:ascii="Times New Roman" w:hAnsi="Times New Roman"/>
          <w:b/>
          <w:bCs/>
          <w:sz w:val="24"/>
          <w:szCs w:val="24"/>
        </w:rPr>
      </w:pPr>
    </w:p>
    <w:p w14:paraId="33C8E212" w14:textId="77777777" w:rsidR="00621761" w:rsidRPr="003F6A45" w:rsidRDefault="00946D9A" w:rsidP="0082672B">
      <w:pPr>
        <w:tabs>
          <w:tab w:val="left" w:pos="-1440"/>
          <w:tab w:val="left" w:pos="-720"/>
        </w:tabs>
        <w:suppressAutoHyphens/>
        <w:ind w:right="144"/>
        <w:jc w:val="center"/>
        <w:rPr>
          <w:rFonts w:ascii="Times New Roman" w:hAnsi="Times New Roman"/>
          <w:b/>
          <w:bCs/>
          <w:sz w:val="24"/>
          <w:szCs w:val="24"/>
        </w:rPr>
      </w:pPr>
      <w:bookmarkStart w:id="0" w:name="_Hlk139634908"/>
      <w:bookmarkStart w:id="1" w:name="_Hlk115322484"/>
      <w:r w:rsidRPr="003F6A45">
        <w:rPr>
          <w:rFonts w:ascii="Times New Roman" w:hAnsi="Times New Roman"/>
          <w:b/>
          <w:bCs/>
          <w:sz w:val="24"/>
          <w:szCs w:val="24"/>
        </w:rPr>
        <w:t xml:space="preserve">STRENGTHENING QUALITY OF AUDITING AND REPORTING PROJECT </w:t>
      </w:r>
      <w:bookmarkEnd w:id="0"/>
      <w:r w:rsidRPr="003F6A45">
        <w:rPr>
          <w:rFonts w:ascii="Times New Roman" w:hAnsi="Times New Roman"/>
          <w:b/>
          <w:bCs/>
          <w:sz w:val="24"/>
          <w:szCs w:val="24"/>
        </w:rPr>
        <w:t xml:space="preserve">- </w:t>
      </w:r>
      <w:bookmarkEnd w:id="1"/>
      <w:r w:rsidRPr="003F6A45">
        <w:rPr>
          <w:rFonts w:ascii="Times New Roman" w:hAnsi="Times New Roman"/>
          <w:b/>
          <w:bCs/>
          <w:sz w:val="24"/>
          <w:szCs w:val="24"/>
        </w:rPr>
        <w:t>ALBANIA</w:t>
      </w:r>
    </w:p>
    <w:p w14:paraId="3C9597B1" w14:textId="77777777" w:rsidR="00621761" w:rsidRPr="003F6A45" w:rsidRDefault="00621761" w:rsidP="0082672B">
      <w:pPr>
        <w:pStyle w:val="Leader"/>
        <w:spacing w:before="120" w:line="276" w:lineRule="auto"/>
        <w:rPr>
          <w:rFonts w:ascii="Times New Roman" w:hAnsi="Times New Roman" w:cs="Times New Roman"/>
          <w:color w:val="auto"/>
          <w:sz w:val="24"/>
          <w:szCs w:val="24"/>
          <w:lang w:val="en-US"/>
        </w:rPr>
      </w:pPr>
      <w:r w:rsidRPr="003F6A45">
        <w:rPr>
          <w:rFonts w:ascii="Times New Roman" w:hAnsi="Times New Roman" w:cs="Times New Roman"/>
          <w:color w:val="auto"/>
          <w:sz w:val="24"/>
          <w:szCs w:val="24"/>
          <w:lang w:val="en-US"/>
        </w:rPr>
        <w:t xml:space="preserve">Terms of Reference </w:t>
      </w:r>
    </w:p>
    <w:p w14:paraId="51E94242" w14:textId="77777777" w:rsidR="00621761" w:rsidRPr="003F6A45" w:rsidRDefault="00621761" w:rsidP="0082672B">
      <w:pPr>
        <w:pStyle w:val="Leader"/>
        <w:spacing w:before="120" w:line="276" w:lineRule="auto"/>
        <w:rPr>
          <w:rFonts w:ascii="Times New Roman" w:hAnsi="Times New Roman" w:cs="Times New Roman"/>
          <w:color w:val="auto"/>
          <w:sz w:val="24"/>
          <w:szCs w:val="24"/>
          <w:lang w:val="en-US"/>
        </w:rPr>
      </w:pPr>
      <w:r w:rsidRPr="003F6A45">
        <w:rPr>
          <w:rFonts w:ascii="Times New Roman" w:hAnsi="Times New Roman" w:cs="Times New Roman"/>
          <w:color w:val="auto"/>
          <w:sz w:val="24"/>
          <w:szCs w:val="24"/>
          <w:lang w:val="en-US"/>
        </w:rPr>
        <w:t xml:space="preserve">for </w:t>
      </w:r>
    </w:p>
    <w:p w14:paraId="6D5F761E" w14:textId="77777777" w:rsidR="00B14285" w:rsidRDefault="00B14285" w:rsidP="0082672B">
      <w:pPr>
        <w:pStyle w:val="Leader"/>
        <w:spacing w:before="120" w:line="276" w:lineRule="auto"/>
        <w:rPr>
          <w:rFonts w:ascii="Times New Roman" w:hAnsi="Times New Roman" w:cs="Times New Roman"/>
          <w:color w:val="auto"/>
          <w:sz w:val="24"/>
          <w:szCs w:val="24"/>
          <w:lang w:val="en-US"/>
        </w:rPr>
      </w:pPr>
      <w:r w:rsidRPr="00B14285">
        <w:rPr>
          <w:rFonts w:ascii="Times New Roman" w:hAnsi="Times New Roman" w:cs="Times New Roman"/>
          <w:color w:val="auto"/>
          <w:sz w:val="24"/>
          <w:szCs w:val="24"/>
          <w:lang w:val="en-US"/>
        </w:rPr>
        <w:t>Strengthening standard setting and increasing capacity of financial regulators on financial reporting (TA for NAC and Training for FSA in IFRS)</w:t>
      </w:r>
    </w:p>
    <w:p w14:paraId="169ADBC1" w14:textId="68010DF6" w:rsidR="00621761" w:rsidRPr="003F6A45" w:rsidRDefault="00621761" w:rsidP="0082672B">
      <w:pPr>
        <w:pStyle w:val="Leader"/>
        <w:spacing w:before="120" w:line="276" w:lineRule="auto"/>
        <w:rPr>
          <w:rFonts w:ascii="Times New Roman" w:hAnsi="Times New Roman" w:cs="Times New Roman"/>
          <w:color w:val="auto"/>
          <w:sz w:val="24"/>
          <w:szCs w:val="24"/>
          <w:lang w:val="en-US"/>
        </w:rPr>
      </w:pPr>
      <w:r w:rsidRPr="00F4473E">
        <w:rPr>
          <w:rFonts w:ascii="Times New Roman" w:hAnsi="Times New Roman" w:cs="Times New Roman"/>
          <w:color w:val="auto"/>
          <w:sz w:val="24"/>
          <w:szCs w:val="24"/>
          <w:lang w:val="en-US"/>
        </w:rPr>
        <w:t xml:space="preserve">Ref. </w:t>
      </w:r>
      <w:r w:rsidR="009B4B6B" w:rsidRPr="00F4473E">
        <w:rPr>
          <w:rFonts w:ascii="Times New Roman" w:hAnsi="Times New Roman" w:cs="Times New Roman"/>
          <w:color w:val="auto"/>
          <w:sz w:val="24"/>
          <w:szCs w:val="24"/>
          <w:lang w:val="en-US"/>
        </w:rPr>
        <w:t>SQARP-AL-CQS-1.</w:t>
      </w:r>
      <w:r w:rsidR="003C09E0" w:rsidRPr="00F4473E">
        <w:rPr>
          <w:rFonts w:ascii="Times New Roman" w:hAnsi="Times New Roman" w:cs="Times New Roman"/>
          <w:color w:val="auto"/>
          <w:sz w:val="24"/>
          <w:szCs w:val="24"/>
          <w:lang w:val="en-US"/>
        </w:rPr>
        <w:t>1</w:t>
      </w:r>
    </w:p>
    <w:p w14:paraId="4DED4691" w14:textId="77777777" w:rsidR="00621761" w:rsidRPr="003F6A45" w:rsidRDefault="00621761" w:rsidP="0082672B">
      <w:pPr>
        <w:pStyle w:val="Heading1"/>
        <w:numPr>
          <w:ilvl w:val="0"/>
          <w:numId w:val="0"/>
        </w:numPr>
        <w:spacing w:line="276" w:lineRule="auto"/>
        <w:rPr>
          <w:rFonts w:ascii="Times New Roman" w:hAnsi="Times New Roman"/>
          <w:sz w:val="24"/>
          <w:szCs w:val="24"/>
          <w:lang w:val="en-US"/>
        </w:rPr>
      </w:pPr>
    </w:p>
    <w:p w14:paraId="22B8FF25" w14:textId="77777777" w:rsidR="00621761" w:rsidRPr="003F6A45" w:rsidRDefault="00621761" w:rsidP="0082672B">
      <w:pPr>
        <w:pStyle w:val="Heading1"/>
        <w:numPr>
          <w:ilvl w:val="0"/>
          <w:numId w:val="0"/>
        </w:numPr>
        <w:spacing w:line="276" w:lineRule="auto"/>
        <w:rPr>
          <w:rFonts w:ascii="Times New Roman" w:hAnsi="Times New Roman"/>
          <w:sz w:val="24"/>
          <w:szCs w:val="24"/>
          <w:lang w:val="en-US"/>
        </w:rPr>
      </w:pPr>
      <w:r w:rsidRPr="003F6A45">
        <w:rPr>
          <w:rFonts w:ascii="Times New Roman" w:hAnsi="Times New Roman"/>
          <w:sz w:val="24"/>
          <w:szCs w:val="24"/>
          <w:lang w:val="en-US"/>
        </w:rPr>
        <w:t>1. Background</w:t>
      </w:r>
    </w:p>
    <w:p w14:paraId="2E20F972" w14:textId="77777777" w:rsidR="00FD38B7" w:rsidRPr="003F6A45" w:rsidRDefault="00FD38B7" w:rsidP="0082672B">
      <w:pPr>
        <w:spacing w:after="120"/>
        <w:jc w:val="both"/>
        <w:rPr>
          <w:rFonts w:ascii="Times New Roman" w:hAnsi="Times New Roman"/>
          <w:bCs/>
          <w:sz w:val="24"/>
          <w:szCs w:val="24"/>
        </w:rPr>
      </w:pPr>
      <w:bookmarkStart w:id="2" w:name="_Toc250645452"/>
      <w:bookmarkStart w:id="3" w:name="_Toc250645822"/>
      <w:bookmarkStart w:id="4" w:name="_Toc250646167"/>
      <w:bookmarkStart w:id="5" w:name="_Toc252901216"/>
      <w:bookmarkStart w:id="6" w:name="_Toc253411981"/>
      <w:bookmarkStart w:id="7" w:name="_Toc257128358"/>
    </w:p>
    <w:p w14:paraId="420E5D6F" w14:textId="77777777" w:rsidR="00FD38B7"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Over the past two decades, Albania has experienced </w:t>
      </w:r>
      <w:r w:rsidR="00335370" w:rsidRPr="003F6A45">
        <w:rPr>
          <w:rFonts w:ascii="Times New Roman" w:eastAsia="Times" w:hAnsi="Times New Roman"/>
          <w:sz w:val="24"/>
          <w:szCs w:val="24"/>
        </w:rPr>
        <w:t>rapid growth</w:t>
      </w:r>
      <w:r w:rsidRPr="003F6A45">
        <w:rPr>
          <w:rFonts w:ascii="Times New Roman" w:eastAsia="Times" w:hAnsi="Times New Roman"/>
          <w:sz w:val="24"/>
          <w:szCs w:val="24"/>
        </w:rPr>
        <w:t xml:space="preserve"> while mitigating macro-financial vulnerabilities that emerged after the Euro-area crisis. </w:t>
      </w:r>
    </w:p>
    <w:p w14:paraId="3C234F0E" w14:textId="09D481B1" w:rsidR="00FD38B7"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Despite recent reforms in the business regulatory framework, Albania still has further progress to make to modernize and improve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w:t>
      </w:r>
      <w:r w:rsidR="00703D14">
        <w:rPr>
          <w:rFonts w:ascii="Times New Roman" w:eastAsia="Times" w:hAnsi="Times New Roman"/>
          <w:sz w:val="24"/>
          <w:szCs w:val="24"/>
        </w:rPr>
        <w:t xml:space="preserve"> (SOEs)</w:t>
      </w:r>
      <w:r w:rsidRPr="003F6A45">
        <w:rPr>
          <w:rFonts w:ascii="Times New Roman" w:eastAsia="Times" w:hAnsi="Times New Roman"/>
          <w:sz w:val="24"/>
          <w:szCs w:val="24"/>
        </w:rPr>
        <w:t xml:space="preserve">. </w:t>
      </w:r>
    </w:p>
    <w:p w14:paraId="319C9CDC" w14:textId="77777777" w:rsidR="00FD38B7"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The 2019 WB Accounting and Auditing Report on Observance of Standards and Codes (A&amp;A ROSC) update confirmed that Albania has made </w:t>
      </w:r>
      <w:r w:rsidR="00335370" w:rsidRPr="003F6A45">
        <w:rPr>
          <w:rFonts w:ascii="Times New Roman" w:eastAsia="Times" w:hAnsi="Times New Roman"/>
          <w:sz w:val="24"/>
          <w:szCs w:val="24"/>
        </w:rPr>
        <w:t>satisfactory progress</w:t>
      </w:r>
      <w:r w:rsidRPr="003F6A45">
        <w:rPr>
          <w:rFonts w:ascii="Times New Roman" w:eastAsia="Times" w:hAnsi="Times New Roman"/>
          <w:sz w:val="24"/>
          <w:szCs w:val="24"/>
        </w:rPr>
        <w:t xml:space="preserve"> in improving corporate financial reporting; however, it noted that further efforts are needed. The 2019 A&amp;A ROSC Update noted that GOA should continue to work to close the gaps and converge its corporate financial reporting statutory framework closer with the EU’s acquis </w:t>
      </w:r>
      <w:proofErr w:type="spellStart"/>
      <w:r w:rsidRPr="003F6A45">
        <w:rPr>
          <w:rFonts w:ascii="Times New Roman" w:eastAsia="Times" w:hAnsi="Times New Roman"/>
          <w:sz w:val="24"/>
          <w:szCs w:val="24"/>
        </w:rPr>
        <w:t>communautaire</w:t>
      </w:r>
      <w:proofErr w:type="spellEnd"/>
      <w:r w:rsidRPr="003F6A45">
        <w:rPr>
          <w:rFonts w:ascii="Times New Roman" w:eastAsia="Times" w:hAnsi="Times New Roman"/>
          <w:sz w:val="24"/>
          <w:szCs w:val="24"/>
        </w:rPr>
        <w:t xml:space="preserve"> relating to company law, financial reporting, auditing, financial market, and financial institutions. Based on the 2019 A&amp;A ROSC recommendations</w:t>
      </w:r>
      <w:r w:rsidRPr="003F6A45">
        <w:rPr>
          <w:rFonts w:ascii="Times New Roman" w:eastAsia="Times" w:hAnsi="Times New Roman"/>
          <w:sz w:val="24"/>
          <w:szCs w:val="24"/>
        </w:rPr>
        <w:footnoteReference w:id="1"/>
      </w:r>
      <w:r w:rsidRPr="003F6A45">
        <w:rPr>
          <w:rFonts w:ascii="Times New Roman" w:eastAsia="Times" w:hAnsi="Times New Roman"/>
          <w:sz w:val="24"/>
          <w:szCs w:val="24"/>
        </w:rPr>
        <w:t xml:space="preserve"> the Country strategy and Action plan (CAP) was revised in 2020 to include an extended reform agenda until 2023, setting out an updated strategy and action plan </w:t>
      </w:r>
      <w:r w:rsidRPr="003F6A45">
        <w:rPr>
          <w:rFonts w:ascii="Times New Roman" w:eastAsia="Times" w:hAnsi="Times New Roman"/>
          <w:sz w:val="24"/>
          <w:szCs w:val="24"/>
        </w:rPr>
        <w:lastRenderedPageBreak/>
        <w:t xml:space="preserve">with a clear program of further reforms to enhance Albania’s legal framework in line with EU acquis, institutions, accounting and audit profession, and the CFR in general. </w:t>
      </w:r>
    </w:p>
    <w:p w14:paraId="3DDDC030" w14:textId="77777777" w:rsidR="00AC506F"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Reform implementation in Albania is bringing important transformations throughout the CFR ecosystem, to the benefit of economic growth, financial </w:t>
      </w:r>
      <w:r w:rsidR="00FE5926" w:rsidRPr="003F6A45">
        <w:rPr>
          <w:rFonts w:ascii="Times New Roman" w:eastAsia="Times" w:hAnsi="Times New Roman"/>
          <w:sz w:val="24"/>
          <w:szCs w:val="24"/>
        </w:rPr>
        <w:t>stability,</w:t>
      </w:r>
      <w:r w:rsidRPr="003F6A45">
        <w:rPr>
          <w:rFonts w:ascii="Times New Roman" w:eastAsia="Times" w:hAnsi="Times New Roman"/>
          <w:sz w:val="24"/>
          <w:szCs w:val="24"/>
        </w:rPr>
        <w:t xml:space="preserve"> and taxation. </w:t>
      </w:r>
    </w:p>
    <w:p w14:paraId="7F22B8B1" w14:textId="5881E807" w:rsidR="00AC506F"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While </w:t>
      </w:r>
      <w:r w:rsidR="00654691">
        <w:rPr>
          <w:rFonts w:ascii="Times New Roman" w:eastAsia="Times" w:hAnsi="Times New Roman"/>
          <w:sz w:val="24"/>
          <w:szCs w:val="24"/>
        </w:rPr>
        <w:t>previous two projects</w:t>
      </w:r>
      <w:r w:rsidR="00230B1B">
        <w:rPr>
          <w:rFonts w:ascii="Times New Roman" w:eastAsia="Times" w:hAnsi="Times New Roman"/>
          <w:sz w:val="24"/>
          <w:szCs w:val="24"/>
        </w:rPr>
        <w:t xml:space="preserve">, namely </w:t>
      </w:r>
      <w:r w:rsidR="00703D14">
        <w:rPr>
          <w:rFonts w:ascii="Times New Roman" w:eastAsia="Times" w:hAnsi="Times New Roman"/>
          <w:sz w:val="24"/>
          <w:szCs w:val="24"/>
        </w:rPr>
        <w:t>t</w:t>
      </w:r>
      <w:r w:rsidR="00230B1B" w:rsidRPr="00230B1B">
        <w:rPr>
          <w:rFonts w:ascii="Times New Roman" w:eastAsia="Times" w:hAnsi="Times New Roman"/>
          <w:sz w:val="24"/>
          <w:szCs w:val="24"/>
        </w:rPr>
        <w:t xml:space="preserve">he Corporate Financial Reporting Enhancement Project </w:t>
      </w:r>
      <w:r w:rsidR="00230B1B">
        <w:rPr>
          <w:rFonts w:ascii="Times New Roman" w:eastAsia="Times" w:hAnsi="Times New Roman"/>
          <w:sz w:val="24"/>
          <w:szCs w:val="24"/>
        </w:rPr>
        <w:t>(</w:t>
      </w:r>
      <w:r w:rsidR="00230B1B" w:rsidRPr="003F6A45">
        <w:rPr>
          <w:rFonts w:ascii="Times New Roman" w:eastAsia="Times" w:hAnsi="Times New Roman"/>
          <w:sz w:val="24"/>
          <w:szCs w:val="24"/>
        </w:rPr>
        <w:t>CFREP</w:t>
      </w:r>
      <w:r w:rsidR="00230B1B">
        <w:rPr>
          <w:rFonts w:ascii="Times New Roman" w:eastAsia="Times" w:hAnsi="Times New Roman"/>
          <w:sz w:val="24"/>
          <w:szCs w:val="24"/>
        </w:rPr>
        <w:t>)</w:t>
      </w:r>
      <w:r w:rsidR="00230B1B" w:rsidRPr="00230B1B">
        <w:rPr>
          <w:rFonts w:ascii="Times New Roman" w:eastAsia="Times" w:hAnsi="Times New Roman"/>
          <w:sz w:val="24"/>
          <w:szCs w:val="24"/>
        </w:rPr>
        <w:t xml:space="preserve"> and Enhancing the Quality of Financial Reporting Project </w:t>
      </w:r>
      <w:r w:rsidR="00230B1B">
        <w:rPr>
          <w:rFonts w:ascii="Times New Roman" w:eastAsia="Times" w:hAnsi="Times New Roman"/>
          <w:sz w:val="24"/>
          <w:szCs w:val="24"/>
        </w:rPr>
        <w:t>(</w:t>
      </w:r>
      <w:r w:rsidRPr="003F6A45">
        <w:rPr>
          <w:rFonts w:ascii="Times New Roman" w:eastAsia="Times" w:hAnsi="Times New Roman"/>
          <w:sz w:val="24"/>
          <w:szCs w:val="24"/>
        </w:rPr>
        <w:t>EQ FINREP</w:t>
      </w:r>
      <w:r w:rsidR="00230B1B">
        <w:rPr>
          <w:rFonts w:ascii="Times New Roman" w:eastAsia="Times" w:hAnsi="Times New Roman"/>
          <w:sz w:val="24"/>
          <w:szCs w:val="24"/>
        </w:rPr>
        <w:t>)</w:t>
      </w:r>
      <w:r w:rsidRPr="003F6A45">
        <w:rPr>
          <w:rFonts w:ascii="Times New Roman" w:eastAsia="Times" w:hAnsi="Times New Roman"/>
          <w:sz w:val="24"/>
          <w:szCs w:val="24"/>
        </w:rPr>
        <w:t xml:space="preserve"> covered a lot of ground and secured important results, </w:t>
      </w:r>
      <w:r w:rsidR="00335370" w:rsidRPr="003F6A45">
        <w:rPr>
          <w:rFonts w:ascii="Times New Roman" w:eastAsia="Times" w:hAnsi="Times New Roman"/>
          <w:sz w:val="24"/>
          <w:szCs w:val="24"/>
        </w:rPr>
        <w:t>prominent issues</w:t>
      </w:r>
      <w:r w:rsidRPr="003F6A45">
        <w:rPr>
          <w:rFonts w:ascii="Times New Roman" w:eastAsia="Times" w:hAnsi="Times New Roman"/>
          <w:sz w:val="24"/>
          <w:szCs w:val="24"/>
        </w:rPr>
        <w:t xml:space="preserve"> and priorities remain to be tackled and reforms initiated need to be advanced further </w:t>
      </w:r>
      <w:r w:rsidR="00FE5926" w:rsidRPr="003F6A45">
        <w:rPr>
          <w:rFonts w:ascii="Times New Roman" w:eastAsia="Times" w:hAnsi="Times New Roman"/>
          <w:sz w:val="24"/>
          <w:szCs w:val="24"/>
        </w:rPr>
        <w:t>to</w:t>
      </w:r>
      <w:r w:rsidRPr="003F6A45">
        <w:rPr>
          <w:rFonts w:ascii="Times New Roman" w:eastAsia="Times" w:hAnsi="Times New Roman"/>
          <w:sz w:val="24"/>
          <w:szCs w:val="24"/>
        </w:rPr>
        <w:t xml:space="preserve"> </w:t>
      </w:r>
      <w:r w:rsidR="00335370" w:rsidRPr="003F6A45">
        <w:rPr>
          <w:rFonts w:ascii="Times New Roman" w:eastAsia="Times" w:hAnsi="Times New Roman"/>
          <w:sz w:val="24"/>
          <w:szCs w:val="24"/>
        </w:rPr>
        <w:t>achieve and sustain results more fully</w:t>
      </w:r>
      <w:r w:rsidRPr="003F6A45">
        <w:rPr>
          <w:rFonts w:ascii="Times New Roman" w:eastAsia="Times" w:hAnsi="Times New Roman"/>
          <w:sz w:val="24"/>
          <w:szCs w:val="24"/>
        </w:rPr>
        <w:t>. In order to address these issues and priorities the updated CAP explores several areas of attention:</w:t>
      </w:r>
    </w:p>
    <w:p w14:paraId="72145489" w14:textId="54169070" w:rsidR="00AC506F"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 xml:space="preserve">While 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w:t>
      </w:r>
      <w:r w:rsidR="00703D14">
        <w:rPr>
          <w:rFonts w:ascii="Times New Roman" w:eastAsia="Times" w:hAnsi="Times New Roman"/>
          <w:sz w:val="24"/>
          <w:szCs w:val="24"/>
        </w:rPr>
        <w:t>S</w:t>
      </w:r>
      <w:r w:rsidR="00703D14" w:rsidRPr="00703D14">
        <w:rPr>
          <w:rFonts w:ascii="Times New Roman" w:eastAsia="Times" w:hAnsi="Times New Roman"/>
          <w:sz w:val="24"/>
          <w:szCs w:val="24"/>
        </w:rPr>
        <w:t xml:space="preserve">trengthening </w:t>
      </w:r>
      <w:r w:rsidR="00703D14">
        <w:rPr>
          <w:rFonts w:ascii="Times New Roman" w:eastAsia="Times" w:hAnsi="Times New Roman"/>
          <w:sz w:val="24"/>
          <w:szCs w:val="24"/>
        </w:rPr>
        <w:t>Q</w:t>
      </w:r>
      <w:r w:rsidR="00703D14" w:rsidRPr="00703D14">
        <w:rPr>
          <w:rFonts w:ascii="Times New Roman" w:eastAsia="Times" w:hAnsi="Times New Roman"/>
          <w:sz w:val="24"/>
          <w:szCs w:val="24"/>
        </w:rPr>
        <w:t xml:space="preserve">uality of </w:t>
      </w:r>
      <w:r w:rsidR="00703D14">
        <w:rPr>
          <w:rFonts w:ascii="Times New Roman" w:eastAsia="Times" w:hAnsi="Times New Roman"/>
          <w:sz w:val="24"/>
          <w:szCs w:val="24"/>
        </w:rPr>
        <w:t>A</w:t>
      </w:r>
      <w:r w:rsidR="00703D14" w:rsidRPr="00703D14">
        <w:rPr>
          <w:rFonts w:ascii="Times New Roman" w:eastAsia="Times" w:hAnsi="Times New Roman"/>
          <w:sz w:val="24"/>
          <w:szCs w:val="24"/>
        </w:rPr>
        <w:t xml:space="preserve">uditing and </w:t>
      </w:r>
      <w:r w:rsidR="00703D14">
        <w:rPr>
          <w:rFonts w:ascii="Times New Roman" w:eastAsia="Times" w:hAnsi="Times New Roman"/>
          <w:sz w:val="24"/>
          <w:szCs w:val="24"/>
        </w:rPr>
        <w:t>R</w:t>
      </w:r>
      <w:r w:rsidR="00703D14" w:rsidRPr="00703D14">
        <w:rPr>
          <w:rFonts w:ascii="Times New Roman" w:eastAsia="Times" w:hAnsi="Times New Roman"/>
          <w:sz w:val="24"/>
          <w:szCs w:val="24"/>
        </w:rPr>
        <w:t xml:space="preserve">eporting </w:t>
      </w:r>
      <w:r w:rsidR="00703D14">
        <w:rPr>
          <w:rFonts w:ascii="Times New Roman" w:eastAsia="Times" w:hAnsi="Times New Roman"/>
          <w:sz w:val="24"/>
          <w:szCs w:val="24"/>
        </w:rPr>
        <w:t>P</w:t>
      </w:r>
      <w:r w:rsidR="00703D14" w:rsidRPr="00703D14">
        <w:rPr>
          <w:rFonts w:ascii="Times New Roman" w:eastAsia="Times" w:hAnsi="Times New Roman"/>
          <w:sz w:val="24"/>
          <w:szCs w:val="24"/>
        </w:rPr>
        <w:t xml:space="preserve">roject </w:t>
      </w:r>
      <w:r w:rsidR="00703D14">
        <w:rPr>
          <w:rFonts w:ascii="Times New Roman" w:eastAsia="Times" w:hAnsi="Times New Roman"/>
          <w:sz w:val="24"/>
          <w:szCs w:val="24"/>
        </w:rPr>
        <w:t>(SQA</w:t>
      </w:r>
      <w:r w:rsidR="004042BE">
        <w:rPr>
          <w:rFonts w:ascii="Times New Roman" w:eastAsia="Times" w:hAnsi="Times New Roman"/>
          <w:sz w:val="24"/>
          <w:szCs w:val="24"/>
        </w:rPr>
        <w:t>R</w:t>
      </w:r>
      <w:r w:rsidR="00703D14">
        <w:rPr>
          <w:rFonts w:ascii="Times New Roman" w:eastAsia="Times" w:hAnsi="Times New Roman"/>
          <w:sz w:val="24"/>
          <w:szCs w:val="24"/>
        </w:rPr>
        <w:t xml:space="preserve">P) </w:t>
      </w:r>
      <w:r w:rsidRPr="003F6A45">
        <w:rPr>
          <w:rFonts w:ascii="Times New Roman" w:eastAsia="Times" w:hAnsi="Times New Roman"/>
          <w:sz w:val="24"/>
          <w:szCs w:val="24"/>
        </w:rPr>
        <w:t xml:space="preserve">will continue </w:t>
      </w:r>
      <w:r w:rsidR="00335370" w:rsidRPr="003F6A45">
        <w:rPr>
          <w:rFonts w:ascii="Times New Roman" w:eastAsia="Times" w:hAnsi="Times New Roman"/>
          <w:sz w:val="24"/>
          <w:szCs w:val="24"/>
        </w:rPr>
        <w:t>to assist</w:t>
      </w:r>
      <w:r w:rsidRPr="003F6A45">
        <w:rPr>
          <w:rFonts w:ascii="Times New Roman" w:eastAsia="Times" w:hAnsi="Times New Roman"/>
          <w:sz w:val="24"/>
          <w:szCs w:val="24"/>
        </w:rPr>
        <w:t xml:space="preserve"> the Government in the legislation convergence and build sustainable capacity for this process to continue when needed after the project </w:t>
      </w:r>
      <w:r w:rsidR="00FE5926" w:rsidRPr="003F6A45">
        <w:rPr>
          <w:rFonts w:ascii="Times New Roman" w:eastAsia="Times" w:hAnsi="Times New Roman"/>
          <w:sz w:val="24"/>
          <w:szCs w:val="24"/>
        </w:rPr>
        <w:t>completion.</w:t>
      </w:r>
      <w:r w:rsidRPr="003F6A45">
        <w:rPr>
          <w:rFonts w:ascii="Times New Roman" w:eastAsia="Times" w:hAnsi="Times New Roman"/>
          <w:sz w:val="24"/>
          <w:szCs w:val="24"/>
        </w:rPr>
        <w:t xml:space="preserve"> </w:t>
      </w:r>
    </w:p>
    <w:p w14:paraId="10FBFDE3" w14:textId="77777777" w:rsidR="00FD38B7" w:rsidRPr="003F6A45" w:rsidRDefault="00FD38B7" w:rsidP="0082672B">
      <w:pPr>
        <w:spacing w:after="120"/>
        <w:jc w:val="both"/>
        <w:rPr>
          <w:rFonts w:ascii="Times New Roman" w:eastAsia="Times" w:hAnsi="Times New Roman"/>
          <w:sz w:val="24"/>
          <w:szCs w:val="24"/>
        </w:rPr>
      </w:pPr>
      <w:r w:rsidRPr="003F6A45">
        <w:rPr>
          <w:rFonts w:ascii="Times New Roman" w:eastAsia="Times" w:hAnsi="Times New Roman"/>
          <w:sz w:val="24"/>
          <w:szCs w:val="24"/>
        </w:rPr>
        <w:t>New developments in the Albanian economy have highlighted the need to develop accounting guidelines and training addressing the requirements of specific industries, including SOEs and financial sector entities</w:t>
      </w:r>
      <w:r w:rsidR="00FE5926" w:rsidRPr="003F6A45">
        <w:rPr>
          <w:rFonts w:ascii="Times New Roman" w:eastAsia="Times" w:hAnsi="Times New Roman"/>
          <w:sz w:val="24"/>
          <w:szCs w:val="24"/>
        </w:rPr>
        <w:t>.</w:t>
      </w:r>
    </w:p>
    <w:p w14:paraId="2E47B985" w14:textId="77777777" w:rsidR="00FD38B7" w:rsidRPr="003F6A45" w:rsidRDefault="00FD38B7" w:rsidP="0082672B">
      <w:pPr>
        <w:tabs>
          <w:tab w:val="left" w:pos="360"/>
        </w:tabs>
        <w:spacing w:after="120"/>
        <w:jc w:val="both"/>
        <w:rPr>
          <w:rFonts w:ascii="Times New Roman" w:eastAsia="Times" w:hAnsi="Times New Roman"/>
          <w:sz w:val="24"/>
          <w:szCs w:val="24"/>
        </w:rPr>
      </w:pPr>
      <w:r w:rsidRPr="003F6A45">
        <w:rPr>
          <w:rFonts w:ascii="Times New Roman" w:eastAsia="Times" w:hAnsi="Times New Roman"/>
          <w:sz w:val="24"/>
          <w:szCs w:val="24"/>
        </w:rPr>
        <w:t xml:space="preserve">The National Accounting Council has established a technical capacity in producing financial reporting standards but does not retain capacity for researching market developments, monitoring the quality of application of required financial reporting standards and identifying existing gaps in financial reporting standards and in the capacity </w:t>
      </w:r>
      <w:r w:rsidR="00FE5926" w:rsidRPr="003F6A45">
        <w:rPr>
          <w:rFonts w:ascii="Times New Roman" w:eastAsia="Times" w:hAnsi="Times New Roman"/>
          <w:sz w:val="24"/>
          <w:szCs w:val="24"/>
        </w:rPr>
        <w:t>of the</w:t>
      </w:r>
      <w:r w:rsidRPr="003F6A45">
        <w:rPr>
          <w:rFonts w:ascii="Times New Roman" w:eastAsia="Times" w:hAnsi="Times New Roman"/>
          <w:sz w:val="24"/>
          <w:szCs w:val="24"/>
        </w:rPr>
        <w:t xml:space="preserve"> accounting profession to comply with </w:t>
      </w:r>
      <w:r w:rsidR="00335370" w:rsidRPr="003F6A45">
        <w:rPr>
          <w:rFonts w:ascii="Times New Roman" w:eastAsia="Times" w:hAnsi="Times New Roman"/>
          <w:sz w:val="24"/>
          <w:szCs w:val="24"/>
        </w:rPr>
        <w:t>them.</w:t>
      </w:r>
      <w:r w:rsidRPr="003F6A45">
        <w:rPr>
          <w:rFonts w:ascii="Times New Roman" w:eastAsia="Times" w:hAnsi="Times New Roman"/>
          <w:sz w:val="24"/>
          <w:szCs w:val="24"/>
        </w:rPr>
        <w:t xml:space="preserve"> </w:t>
      </w:r>
    </w:p>
    <w:p w14:paraId="6A1DB638" w14:textId="04716F10" w:rsidR="00F3551D" w:rsidRPr="003F6A45" w:rsidRDefault="00F3551D" w:rsidP="0082672B">
      <w:pPr>
        <w:spacing w:after="0"/>
        <w:jc w:val="both"/>
        <w:rPr>
          <w:rFonts w:ascii="Times New Roman" w:hAnsi="Times New Roman"/>
          <w:sz w:val="24"/>
          <w:szCs w:val="24"/>
          <w:lang w:eastAsia="en-GB"/>
        </w:rPr>
      </w:pPr>
      <w:r w:rsidRPr="003F6A45">
        <w:rPr>
          <w:rFonts w:ascii="Times New Roman" w:hAnsi="Times New Roman"/>
          <w:sz w:val="24"/>
          <w:szCs w:val="24"/>
          <w:lang w:eastAsia="en-GB"/>
        </w:rPr>
        <w:t xml:space="preserve">The </w:t>
      </w:r>
      <w:r w:rsidR="00703D14">
        <w:rPr>
          <w:rFonts w:ascii="Times New Roman" w:hAnsi="Times New Roman"/>
          <w:sz w:val="24"/>
          <w:szCs w:val="24"/>
          <w:lang w:eastAsia="en-GB"/>
        </w:rPr>
        <w:t>SQA</w:t>
      </w:r>
      <w:r w:rsidR="00F26718">
        <w:rPr>
          <w:rFonts w:ascii="Times New Roman" w:hAnsi="Times New Roman"/>
          <w:sz w:val="24"/>
          <w:szCs w:val="24"/>
          <w:lang w:eastAsia="en-GB"/>
        </w:rPr>
        <w:t>R</w:t>
      </w:r>
      <w:r w:rsidR="00703D14">
        <w:rPr>
          <w:rFonts w:ascii="Times New Roman" w:hAnsi="Times New Roman"/>
          <w:sz w:val="24"/>
          <w:szCs w:val="24"/>
          <w:lang w:eastAsia="en-GB"/>
        </w:rPr>
        <w:t>P</w:t>
      </w:r>
      <w:r w:rsidRPr="003F6A45">
        <w:rPr>
          <w:rFonts w:ascii="Times New Roman" w:hAnsi="Times New Roman"/>
          <w:sz w:val="24"/>
          <w:szCs w:val="24"/>
          <w:lang w:eastAsia="en-GB"/>
        </w:rPr>
        <w:t xml:space="preserve"> will provide a necessary underpinning for the continued reform and will contribute to better enforcement of corporate financial reporting in Albania. It follow</w:t>
      </w:r>
      <w:r w:rsidR="00703D14">
        <w:rPr>
          <w:rFonts w:ascii="Times New Roman" w:hAnsi="Times New Roman"/>
          <w:sz w:val="24"/>
          <w:szCs w:val="24"/>
          <w:lang w:eastAsia="en-GB"/>
        </w:rPr>
        <w:t>s</w:t>
      </w:r>
      <w:r w:rsidRPr="003F6A45">
        <w:rPr>
          <w:rFonts w:ascii="Times New Roman" w:hAnsi="Times New Roman"/>
          <w:sz w:val="24"/>
          <w:szCs w:val="24"/>
          <w:lang w:eastAsia="en-GB"/>
        </w:rPr>
        <w:t xml:space="preserve"> up on the CFREP and  EQFINREP (phase I and phase II) by building on and reinforcing previous reform work, support the implementation of improved laws and bylaws and other priority reforms reflected in the updated CAP. Project development objective of CFREP was to create a transparent policy environment and effective institutional framework for corporate financial reporting in line with best international practices, aligned with EU </w:t>
      </w:r>
      <w:r w:rsidRPr="003F6A45">
        <w:rPr>
          <w:rFonts w:ascii="Times New Roman" w:hAnsi="Times New Roman"/>
          <w:i/>
          <w:sz w:val="24"/>
          <w:szCs w:val="24"/>
          <w:lang w:eastAsia="en-GB"/>
        </w:rPr>
        <w:t xml:space="preserve">acquis </w:t>
      </w:r>
      <w:proofErr w:type="spellStart"/>
      <w:r w:rsidRPr="003F6A45">
        <w:rPr>
          <w:rFonts w:ascii="Times New Roman" w:hAnsi="Times New Roman"/>
          <w:i/>
          <w:sz w:val="24"/>
          <w:szCs w:val="24"/>
          <w:lang w:eastAsia="en-GB"/>
        </w:rPr>
        <w:t>communautaire</w:t>
      </w:r>
      <w:proofErr w:type="spellEnd"/>
      <w:r w:rsidRPr="003F6A45">
        <w:rPr>
          <w:rFonts w:ascii="Times New Roman" w:hAnsi="Times New Roman"/>
          <w:sz w:val="24"/>
          <w:szCs w:val="24"/>
          <w:lang w:eastAsia="en-GB"/>
        </w:rPr>
        <w:t xml:space="preserve">, while EQFINREP focused on improving the capacity of relevant national institutions to teach, support, regulate, enforce and disseminate high-quality corporate financial reporting in Albania in line with the relevant parts of the EU </w:t>
      </w:r>
      <w:r w:rsidRPr="003F6A45">
        <w:rPr>
          <w:rFonts w:ascii="Times New Roman" w:hAnsi="Times New Roman"/>
          <w:i/>
          <w:sz w:val="24"/>
          <w:szCs w:val="24"/>
          <w:lang w:eastAsia="en-GB"/>
        </w:rPr>
        <w:t xml:space="preserve">acquis </w:t>
      </w:r>
      <w:proofErr w:type="spellStart"/>
      <w:r w:rsidRPr="003F6A45">
        <w:rPr>
          <w:rFonts w:ascii="Times New Roman" w:hAnsi="Times New Roman"/>
          <w:i/>
          <w:sz w:val="24"/>
          <w:szCs w:val="24"/>
          <w:lang w:eastAsia="en-GB"/>
        </w:rPr>
        <w:t>communautaire</w:t>
      </w:r>
      <w:proofErr w:type="spellEnd"/>
      <w:r w:rsidRPr="003F6A45">
        <w:rPr>
          <w:rFonts w:ascii="Times New Roman" w:hAnsi="Times New Roman"/>
          <w:sz w:val="24"/>
          <w:szCs w:val="24"/>
          <w:lang w:eastAsia="en-GB"/>
        </w:rPr>
        <w:t xml:space="preserve"> and good international practice; contributed to strengthen human and institutional capacity of universities, accountancy and audit professional organizations, tax and supervisory authorities, and the commercial register. </w:t>
      </w:r>
    </w:p>
    <w:p w14:paraId="73D50623" w14:textId="77777777" w:rsidR="00AD146E" w:rsidRPr="003F6A45" w:rsidRDefault="00AD146E" w:rsidP="0082672B">
      <w:pPr>
        <w:autoSpaceDE w:val="0"/>
        <w:autoSpaceDN w:val="0"/>
        <w:adjustRightInd w:val="0"/>
        <w:spacing w:after="0"/>
        <w:jc w:val="both"/>
        <w:rPr>
          <w:rFonts w:ascii="Times New Roman" w:hAnsi="Times New Roman"/>
          <w:sz w:val="24"/>
          <w:szCs w:val="24"/>
        </w:rPr>
      </w:pPr>
    </w:p>
    <w:p w14:paraId="28CB819C" w14:textId="32901DD7" w:rsidR="000608BE" w:rsidRDefault="000608BE" w:rsidP="0082672B">
      <w:pPr>
        <w:pStyle w:val="MainParanoChapter"/>
        <w:numPr>
          <w:ilvl w:val="0"/>
          <w:numId w:val="0"/>
        </w:numPr>
        <w:autoSpaceDE w:val="0"/>
        <w:autoSpaceDN w:val="0"/>
        <w:adjustRightInd w:val="0"/>
        <w:spacing w:after="0" w:line="276" w:lineRule="auto"/>
        <w:jc w:val="both"/>
        <w:rPr>
          <w:lang w:val="en-US"/>
        </w:rPr>
      </w:pPr>
      <w:r w:rsidRPr="000608BE">
        <w:rPr>
          <w:lang w:val="en-US"/>
        </w:rPr>
        <w:lastRenderedPageBreak/>
        <w:t xml:space="preserve">The </w:t>
      </w:r>
      <w:r w:rsidR="00703D14" w:rsidRPr="00703D14">
        <w:rPr>
          <w:lang w:val="en-US"/>
        </w:rPr>
        <w:t>SQA</w:t>
      </w:r>
      <w:r w:rsidR="004042BE">
        <w:rPr>
          <w:lang w:val="en-US"/>
        </w:rPr>
        <w:t>R</w:t>
      </w:r>
      <w:r w:rsidR="00703D14" w:rsidRPr="00703D14">
        <w:rPr>
          <w:lang w:val="en-US"/>
        </w:rPr>
        <w:t xml:space="preserve">P </w:t>
      </w:r>
      <w:r w:rsidRPr="000608BE">
        <w:rPr>
          <w:lang w:val="en-US"/>
        </w:rPr>
        <w:t>is financed under a Swiss State Secretariat for Economic Affairs (SECO) grant, administered by the Bank, and executed by the Ministry of Finance</w:t>
      </w:r>
      <w:r w:rsidR="00703D14">
        <w:rPr>
          <w:lang w:val="en-US"/>
        </w:rPr>
        <w:t xml:space="preserve"> and Economy (MoFE)</w:t>
      </w:r>
      <w:r w:rsidRPr="000608BE">
        <w:rPr>
          <w:lang w:val="en-US"/>
        </w:rPr>
        <w:t>.</w:t>
      </w:r>
    </w:p>
    <w:p w14:paraId="64C97621" w14:textId="77777777" w:rsidR="00703D14" w:rsidRDefault="00703D14" w:rsidP="000608BE">
      <w:pPr>
        <w:pStyle w:val="MainParanoChapter"/>
        <w:numPr>
          <w:ilvl w:val="0"/>
          <w:numId w:val="0"/>
        </w:numPr>
        <w:autoSpaceDE w:val="0"/>
        <w:autoSpaceDN w:val="0"/>
        <w:adjustRightInd w:val="0"/>
        <w:spacing w:after="0" w:line="276" w:lineRule="auto"/>
        <w:jc w:val="both"/>
        <w:rPr>
          <w:lang w:val="en-US"/>
        </w:rPr>
      </w:pPr>
    </w:p>
    <w:p w14:paraId="7636A807" w14:textId="77A15A58" w:rsidR="00AD146E" w:rsidRPr="003F6A45" w:rsidRDefault="00AD146E" w:rsidP="000608BE">
      <w:pPr>
        <w:pStyle w:val="MainParanoChapter"/>
        <w:numPr>
          <w:ilvl w:val="0"/>
          <w:numId w:val="0"/>
        </w:numPr>
        <w:autoSpaceDE w:val="0"/>
        <w:autoSpaceDN w:val="0"/>
        <w:adjustRightInd w:val="0"/>
        <w:spacing w:after="0" w:line="276" w:lineRule="auto"/>
        <w:jc w:val="both"/>
        <w:rPr>
          <w:lang w:val="en-US"/>
        </w:rPr>
      </w:pPr>
      <w:r w:rsidRPr="003F6A45">
        <w:rPr>
          <w:lang w:val="en-US"/>
        </w:rPr>
        <w:t xml:space="preserve">The responsibility for the implementation of recipient executed activities </w:t>
      </w:r>
      <w:r w:rsidR="00703D14">
        <w:rPr>
          <w:lang w:val="en-US"/>
        </w:rPr>
        <w:t>are</w:t>
      </w:r>
      <w:r w:rsidRPr="003F6A45">
        <w:rPr>
          <w:lang w:val="en-US"/>
        </w:rPr>
        <w:t xml:space="preserve"> with key stakeholders, project coordination and day-to-day project management with the MoFE, while the NSC will have an overall oversight role. The Deputy Minister of Finance and Economy, in </w:t>
      </w:r>
      <w:r w:rsidR="00703D14" w:rsidRPr="003F6A45">
        <w:rPr>
          <w:lang w:val="en-US"/>
        </w:rPr>
        <w:t>h</w:t>
      </w:r>
      <w:r w:rsidR="00703D14">
        <w:rPr>
          <w:lang w:val="en-US"/>
        </w:rPr>
        <w:t>er</w:t>
      </w:r>
      <w:r w:rsidR="00703D14" w:rsidRPr="003F6A45">
        <w:rPr>
          <w:lang w:val="en-US"/>
        </w:rPr>
        <w:t xml:space="preserve"> </w:t>
      </w:r>
      <w:r w:rsidRPr="003F6A45">
        <w:rPr>
          <w:lang w:val="en-US"/>
        </w:rPr>
        <w:t>capacity as responsible for financial reporting reforms in Albania and Chair of the NSC, will be accountable for progress in project implementation.</w:t>
      </w:r>
    </w:p>
    <w:p w14:paraId="3790B29D" w14:textId="77777777" w:rsidR="00703D14" w:rsidRDefault="00703D14" w:rsidP="000608BE">
      <w:pPr>
        <w:pStyle w:val="MainParanoChapter"/>
        <w:numPr>
          <w:ilvl w:val="0"/>
          <w:numId w:val="0"/>
        </w:numPr>
        <w:autoSpaceDE w:val="0"/>
        <w:autoSpaceDN w:val="0"/>
        <w:adjustRightInd w:val="0"/>
        <w:spacing w:after="0" w:line="276" w:lineRule="auto"/>
        <w:jc w:val="both"/>
        <w:outlineLvl w:val="9"/>
        <w:rPr>
          <w:lang w:val="en-US"/>
        </w:rPr>
      </w:pPr>
    </w:p>
    <w:p w14:paraId="07683BDD" w14:textId="0413D4EA" w:rsidR="00AD146E" w:rsidRPr="003F6A45" w:rsidRDefault="00AD146E" w:rsidP="000608BE">
      <w:pPr>
        <w:pStyle w:val="MainParanoChapter"/>
        <w:numPr>
          <w:ilvl w:val="0"/>
          <w:numId w:val="0"/>
        </w:numPr>
        <w:autoSpaceDE w:val="0"/>
        <w:autoSpaceDN w:val="0"/>
        <w:adjustRightInd w:val="0"/>
        <w:spacing w:after="0" w:line="276" w:lineRule="auto"/>
        <w:jc w:val="both"/>
        <w:outlineLvl w:val="9"/>
        <w:rPr>
          <w:lang w:val="en-US"/>
        </w:rPr>
      </w:pPr>
      <w:r w:rsidRPr="003F6A45">
        <w:rPr>
          <w:lang w:val="en-US"/>
        </w:rPr>
        <w:t xml:space="preserve">Fiduciary aspects of the trust fund management, including procurement and financial management, </w:t>
      </w:r>
      <w:r w:rsidR="00703D14">
        <w:rPr>
          <w:lang w:val="en-US"/>
        </w:rPr>
        <w:t>are</w:t>
      </w:r>
      <w:r w:rsidRPr="003F6A45">
        <w:rPr>
          <w:lang w:val="en-US"/>
        </w:rPr>
        <w:t xml:space="preserve"> handled by the General Directorate of Financing and Contracting (GDFC) at the MoFE.</w:t>
      </w:r>
    </w:p>
    <w:p w14:paraId="64D1F245" w14:textId="77777777" w:rsidR="00703D14" w:rsidRDefault="00703D14" w:rsidP="0082672B">
      <w:pPr>
        <w:pStyle w:val="MainParanoChapter"/>
        <w:numPr>
          <w:ilvl w:val="0"/>
          <w:numId w:val="0"/>
        </w:numPr>
        <w:spacing w:after="0" w:line="276" w:lineRule="auto"/>
        <w:jc w:val="both"/>
        <w:outlineLvl w:val="9"/>
        <w:rPr>
          <w:lang w:val="en-US"/>
        </w:rPr>
      </w:pPr>
    </w:p>
    <w:p w14:paraId="44CD3765" w14:textId="092B7FC9" w:rsidR="006E4033" w:rsidRPr="003F6A45" w:rsidRDefault="00B71666" w:rsidP="0082672B">
      <w:pPr>
        <w:pStyle w:val="MainParanoChapter"/>
        <w:numPr>
          <w:ilvl w:val="0"/>
          <w:numId w:val="0"/>
        </w:numPr>
        <w:spacing w:after="0" w:line="276" w:lineRule="auto"/>
        <w:jc w:val="both"/>
        <w:outlineLvl w:val="9"/>
        <w:rPr>
          <w:lang w:val="en-US"/>
        </w:rPr>
      </w:pPr>
      <w:r w:rsidRPr="003F6A45">
        <w:rPr>
          <w:lang w:val="en-US"/>
        </w:rPr>
        <w:t>The project includes the provision of both technical and financial resources to strengthen the reform implementation capacity of the reform implementation group, specifically a local project coordinator and an international strategic consultant.</w:t>
      </w:r>
      <w:bookmarkEnd w:id="2"/>
      <w:bookmarkEnd w:id="3"/>
      <w:bookmarkEnd w:id="4"/>
      <w:bookmarkEnd w:id="5"/>
      <w:bookmarkEnd w:id="6"/>
      <w:bookmarkEnd w:id="7"/>
    </w:p>
    <w:p w14:paraId="0FD2FAAE" w14:textId="77777777" w:rsidR="00981C67" w:rsidRPr="003F6A45" w:rsidRDefault="00981C67" w:rsidP="0082672B">
      <w:pPr>
        <w:rPr>
          <w:rFonts w:ascii="Times New Roman" w:hAnsi="Times New Roman"/>
          <w:b/>
          <w:bCs/>
          <w:sz w:val="24"/>
          <w:szCs w:val="24"/>
        </w:rPr>
      </w:pPr>
    </w:p>
    <w:p w14:paraId="2BE7A8A6" w14:textId="77777777" w:rsidR="00621761" w:rsidRPr="003F6A45" w:rsidRDefault="00621761" w:rsidP="0082672B">
      <w:pPr>
        <w:rPr>
          <w:rFonts w:ascii="Times New Roman" w:hAnsi="Times New Roman"/>
          <w:b/>
          <w:bCs/>
          <w:sz w:val="24"/>
          <w:szCs w:val="24"/>
        </w:rPr>
      </w:pPr>
      <w:r w:rsidRPr="003F6A45">
        <w:rPr>
          <w:rFonts w:ascii="Times New Roman" w:hAnsi="Times New Roman"/>
          <w:b/>
          <w:bCs/>
          <w:sz w:val="24"/>
          <w:szCs w:val="24"/>
        </w:rPr>
        <w:t>2. Objectives of the assignment</w:t>
      </w:r>
    </w:p>
    <w:p w14:paraId="713DAE0F" w14:textId="11DEA384" w:rsidR="005A0CDD" w:rsidRPr="003F6A45" w:rsidRDefault="00621761" w:rsidP="0082672B">
      <w:pPr>
        <w:pStyle w:val="MainParanoChapter"/>
        <w:numPr>
          <w:ilvl w:val="0"/>
          <w:numId w:val="0"/>
        </w:numPr>
        <w:spacing w:after="0" w:line="276" w:lineRule="auto"/>
        <w:jc w:val="both"/>
        <w:outlineLvl w:val="9"/>
        <w:rPr>
          <w:lang w:val="en-US"/>
        </w:rPr>
      </w:pPr>
      <w:r w:rsidRPr="003F6A45">
        <w:rPr>
          <w:lang w:val="en-US"/>
        </w:rPr>
        <w:t xml:space="preserve">These Terms of Reference </w:t>
      </w:r>
      <w:r w:rsidR="001C76B0" w:rsidRPr="003F6A45">
        <w:rPr>
          <w:lang w:val="en-US"/>
        </w:rPr>
        <w:t xml:space="preserve">cover </w:t>
      </w:r>
      <w:r w:rsidR="00F2041E" w:rsidRPr="003F6A45">
        <w:rPr>
          <w:lang w:val="en-US"/>
        </w:rPr>
        <w:t xml:space="preserve">part of the </w:t>
      </w:r>
      <w:r w:rsidR="005969A7" w:rsidRPr="003F6A45">
        <w:rPr>
          <w:lang w:val="en-US"/>
        </w:rPr>
        <w:t xml:space="preserve">Component </w:t>
      </w:r>
      <w:r w:rsidR="00275340">
        <w:rPr>
          <w:lang w:val="en-US"/>
        </w:rPr>
        <w:t>1 of the project</w:t>
      </w:r>
      <w:r w:rsidR="001C76B0" w:rsidRPr="003F6A45">
        <w:rPr>
          <w:lang w:val="en-US"/>
        </w:rPr>
        <w:t xml:space="preserve"> which aims </w:t>
      </w:r>
      <w:r w:rsidR="00F2041E" w:rsidRPr="003F6A45">
        <w:rPr>
          <w:lang w:val="en-US"/>
        </w:rPr>
        <w:t xml:space="preserve">to improve the </w:t>
      </w:r>
      <w:r w:rsidR="005A0CDD" w:rsidRPr="003F6A45">
        <w:rPr>
          <w:lang w:val="en-US"/>
        </w:rPr>
        <w:t xml:space="preserve">capacity </w:t>
      </w:r>
      <w:r w:rsidR="003F6A45" w:rsidRPr="003F6A45">
        <w:rPr>
          <w:lang w:val="en-US"/>
        </w:rPr>
        <w:t xml:space="preserve">of National Accounting Council to </w:t>
      </w:r>
      <w:r w:rsidR="00930AF8">
        <w:rPr>
          <w:lang w:val="sq-AL"/>
        </w:rPr>
        <w:t xml:space="preserve">monitor the implementation of accounting standards, to improve the standard setting capapcities </w:t>
      </w:r>
      <w:r w:rsidR="003F6A45" w:rsidRPr="003F6A45">
        <w:rPr>
          <w:lang w:val="sq-AL"/>
        </w:rPr>
        <w:t>and to develop and implement a risk based Financial Statements monitoring methodology</w:t>
      </w:r>
      <w:r w:rsidR="00930AF8">
        <w:rPr>
          <w:lang w:val="sq-AL"/>
        </w:rPr>
        <w:t xml:space="preserve">. </w:t>
      </w:r>
      <w:r w:rsidR="00703D14">
        <w:rPr>
          <w:lang w:val="sq-AL"/>
        </w:rPr>
        <w:t>Additionally, this technical assistance (TA)</w:t>
      </w:r>
      <w:r w:rsidR="00930AF8">
        <w:rPr>
          <w:lang w:val="sq-AL"/>
        </w:rPr>
        <w:t xml:space="preserve"> will </w:t>
      </w:r>
      <w:r w:rsidR="00275340">
        <w:rPr>
          <w:lang w:val="sq-AL"/>
        </w:rPr>
        <w:t xml:space="preserve">support the Financial Supervisory Authority </w:t>
      </w:r>
      <w:r w:rsidR="00C61CCC">
        <w:rPr>
          <w:lang w:val="sq-AL"/>
        </w:rPr>
        <w:t xml:space="preserve">(FSA) </w:t>
      </w:r>
      <w:r w:rsidR="00275340">
        <w:rPr>
          <w:lang w:val="sq-AL"/>
        </w:rPr>
        <w:t>to increase the staff knowledge in the relevant International Financial R</w:t>
      </w:r>
      <w:r w:rsidR="00223C26">
        <w:rPr>
          <w:lang w:val="sq-AL"/>
        </w:rPr>
        <w:t>epo</w:t>
      </w:r>
      <w:r w:rsidR="00275340">
        <w:rPr>
          <w:lang w:val="sq-AL"/>
        </w:rPr>
        <w:t>rting</w:t>
      </w:r>
      <w:r w:rsidR="00223C26">
        <w:rPr>
          <w:lang w:val="sq-AL"/>
        </w:rPr>
        <w:t xml:space="preserve"> Standards </w:t>
      </w:r>
      <w:r w:rsidR="00703D14">
        <w:rPr>
          <w:lang w:val="sq-AL"/>
        </w:rPr>
        <w:t xml:space="preserve">(IFRS) </w:t>
      </w:r>
      <w:r w:rsidR="00223C26">
        <w:rPr>
          <w:lang w:val="sq-AL"/>
        </w:rPr>
        <w:t>with focus on IFRS 17</w:t>
      </w:r>
      <w:r w:rsidR="00703D14">
        <w:rPr>
          <w:lang w:val="sq-AL"/>
        </w:rPr>
        <w:t xml:space="preserve"> “Insurance </w:t>
      </w:r>
      <w:r w:rsidR="00C61CCC">
        <w:rPr>
          <w:lang w:val="sq-AL"/>
        </w:rPr>
        <w:t>Contracts”</w:t>
      </w:r>
    </w:p>
    <w:p w14:paraId="788B7260" w14:textId="77EB133B" w:rsidR="00BC0687" w:rsidRPr="003F6A45" w:rsidRDefault="000B24CE" w:rsidP="0082672B">
      <w:pPr>
        <w:pStyle w:val="MainParanoChapter"/>
        <w:numPr>
          <w:ilvl w:val="0"/>
          <w:numId w:val="0"/>
        </w:numPr>
        <w:spacing w:after="0" w:line="276" w:lineRule="auto"/>
        <w:jc w:val="both"/>
        <w:outlineLvl w:val="9"/>
        <w:rPr>
          <w:lang w:val="en-US"/>
        </w:rPr>
      </w:pPr>
      <w:r w:rsidRPr="003F6A45">
        <w:rPr>
          <w:lang w:val="en-US"/>
        </w:rPr>
        <w:t xml:space="preserve">Under this component support will be provided to various stakeholders in </w:t>
      </w:r>
      <w:r w:rsidR="00335370" w:rsidRPr="003F6A45">
        <w:rPr>
          <w:lang w:val="en-US"/>
        </w:rPr>
        <w:t>increasing</w:t>
      </w:r>
      <w:r w:rsidR="00EA1CE6" w:rsidRPr="003F6A45">
        <w:rPr>
          <w:lang w:val="en-US"/>
        </w:rPr>
        <w:t xml:space="preserve"> their knowledge, know-how and capab</w:t>
      </w:r>
      <w:r w:rsidR="00275340">
        <w:rPr>
          <w:lang w:val="en-US"/>
        </w:rPr>
        <w:t xml:space="preserve">ility in </w:t>
      </w:r>
      <w:r w:rsidR="00223C26">
        <w:rPr>
          <w:lang w:val="en-US"/>
        </w:rPr>
        <w:t>the above areas.</w:t>
      </w:r>
    </w:p>
    <w:p w14:paraId="7E1C5021" w14:textId="2533C576" w:rsidR="00571A21" w:rsidRPr="000608BE" w:rsidRDefault="000B24CE" w:rsidP="000608BE">
      <w:pPr>
        <w:pStyle w:val="MainParanoChapter"/>
        <w:numPr>
          <w:ilvl w:val="0"/>
          <w:numId w:val="0"/>
        </w:numPr>
        <w:spacing w:after="0" w:line="276" w:lineRule="auto"/>
        <w:jc w:val="both"/>
        <w:outlineLvl w:val="9"/>
        <w:rPr>
          <w:lang w:val="en-US"/>
        </w:rPr>
      </w:pPr>
      <w:r w:rsidRPr="003F6A45">
        <w:rPr>
          <w:lang w:val="en-US"/>
        </w:rPr>
        <w:t xml:space="preserve">Stakeholders for this component include </w:t>
      </w:r>
      <w:r w:rsidR="00275340">
        <w:rPr>
          <w:lang w:val="en-US"/>
        </w:rPr>
        <w:t xml:space="preserve">NAC, FSA </w:t>
      </w:r>
      <w:r w:rsidR="00B00B61" w:rsidRPr="003F6A45">
        <w:rPr>
          <w:lang w:val="en-US"/>
        </w:rPr>
        <w:t xml:space="preserve">and the Ministry of Finance and </w:t>
      </w:r>
      <w:r w:rsidR="002D4AE3" w:rsidRPr="003F6A45">
        <w:rPr>
          <w:lang w:val="en-US"/>
        </w:rPr>
        <w:t>Economy</w:t>
      </w:r>
      <w:r w:rsidR="00B00B61" w:rsidRPr="003F6A45">
        <w:rPr>
          <w:lang w:val="en-US"/>
        </w:rPr>
        <w:t>.</w:t>
      </w:r>
    </w:p>
    <w:p w14:paraId="1F3AEE1D" w14:textId="6615EB78" w:rsidR="00571A21" w:rsidRPr="003F6A45" w:rsidRDefault="00571A21" w:rsidP="0082672B">
      <w:pPr>
        <w:jc w:val="both"/>
        <w:rPr>
          <w:rFonts w:ascii="Times New Roman" w:hAnsi="Times New Roman"/>
          <w:sz w:val="24"/>
          <w:szCs w:val="24"/>
        </w:rPr>
      </w:pPr>
      <w:r w:rsidRPr="003F6A45">
        <w:rPr>
          <w:rFonts w:ascii="Times New Roman" w:hAnsi="Times New Roman"/>
          <w:sz w:val="24"/>
          <w:szCs w:val="24"/>
        </w:rPr>
        <w:t xml:space="preserve">The </w:t>
      </w:r>
      <w:r w:rsidR="00C61CCC">
        <w:rPr>
          <w:rFonts w:ascii="Times New Roman" w:hAnsi="Times New Roman"/>
          <w:sz w:val="24"/>
          <w:szCs w:val="24"/>
        </w:rPr>
        <w:t>MoFE</w:t>
      </w:r>
      <w:r w:rsidRPr="003F6A45">
        <w:rPr>
          <w:rFonts w:ascii="Times New Roman" w:hAnsi="Times New Roman"/>
          <w:sz w:val="24"/>
          <w:szCs w:val="24"/>
        </w:rPr>
        <w:t xml:space="preserve">, which chairs the Reform Implementation Group (RIG), is seeking on behalf of </w:t>
      </w:r>
      <w:r w:rsidR="00223C26">
        <w:rPr>
          <w:rFonts w:ascii="Times New Roman" w:hAnsi="Times New Roman"/>
          <w:sz w:val="24"/>
          <w:szCs w:val="24"/>
        </w:rPr>
        <w:t>NAC and FSA, a</w:t>
      </w:r>
      <w:r w:rsidR="00C1414B">
        <w:rPr>
          <w:rFonts w:ascii="Times New Roman" w:hAnsi="Times New Roman"/>
          <w:sz w:val="24"/>
          <w:szCs w:val="24"/>
        </w:rPr>
        <w:t xml:space="preserve">n international </w:t>
      </w:r>
      <w:r w:rsidR="00223C26">
        <w:rPr>
          <w:rFonts w:ascii="Times New Roman" w:hAnsi="Times New Roman"/>
          <w:sz w:val="24"/>
          <w:szCs w:val="24"/>
        </w:rPr>
        <w:t>consultancy firm</w:t>
      </w:r>
      <w:r w:rsidR="00CC2376">
        <w:rPr>
          <w:rFonts w:ascii="Times New Roman" w:hAnsi="Times New Roman"/>
          <w:sz w:val="24"/>
          <w:szCs w:val="24"/>
        </w:rPr>
        <w:t xml:space="preserve"> </w:t>
      </w:r>
      <w:r w:rsidR="00A917DC" w:rsidRPr="003F6A45">
        <w:rPr>
          <w:rFonts w:ascii="Times New Roman" w:hAnsi="Times New Roman"/>
          <w:sz w:val="24"/>
          <w:szCs w:val="24"/>
        </w:rPr>
        <w:t xml:space="preserve">(hereafter referred to as the Consultant) </w:t>
      </w:r>
      <w:r w:rsidRPr="003F6A45">
        <w:rPr>
          <w:rFonts w:ascii="Times New Roman" w:hAnsi="Times New Roman"/>
          <w:sz w:val="24"/>
          <w:szCs w:val="24"/>
        </w:rPr>
        <w:t xml:space="preserve">that has the necessary capabilities to achieve the objectives </w:t>
      </w:r>
      <w:r w:rsidR="003A4E6A" w:rsidRPr="003F6A45">
        <w:rPr>
          <w:rFonts w:ascii="Times New Roman" w:hAnsi="Times New Roman"/>
          <w:sz w:val="24"/>
          <w:szCs w:val="24"/>
        </w:rPr>
        <w:t>of the proposed activities</w:t>
      </w:r>
      <w:r w:rsidR="00335370" w:rsidRPr="003F6A45">
        <w:rPr>
          <w:rFonts w:ascii="Times New Roman" w:hAnsi="Times New Roman"/>
          <w:sz w:val="24"/>
          <w:szCs w:val="24"/>
        </w:rPr>
        <w:t xml:space="preserve">. </w:t>
      </w:r>
    </w:p>
    <w:p w14:paraId="32CD8635" w14:textId="46D11363" w:rsidR="00010329" w:rsidRDefault="00636C27" w:rsidP="0082672B">
      <w:pPr>
        <w:jc w:val="both"/>
        <w:rPr>
          <w:rFonts w:ascii="Times New Roman" w:hAnsi="Times New Roman"/>
          <w:sz w:val="24"/>
          <w:szCs w:val="24"/>
        </w:rPr>
      </w:pPr>
      <w:r>
        <w:rPr>
          <w:rFonts w:ascii="Times New Roman" w:hAnsi="Times New Roman"/>
          <w:sz w:val="24"/>
          <w:szCs w:val="24"/>
        </w:rPr>
        <w:t xml:space="preserve">This activity should support </w:t>
      </w:r>
      <w:r w:rsidR="002D519C">
        <w:rPr>
          <w:rFonts w:ascii="Times New Roman" w:hAnsi="Times New Roman"/>
          <w:sz w:val="24"/>
          <w:szCs w:val="24"/>
        </w:rPr>
        <w:t xml:space="preserve">the </w:t>
      </w:r>
      <w:r>
        <w:rPr>
          <w:rFonts w:ascii="Times New Roman" w:hAnsi="Times New Roman"/>
          <w:sz w:val="24"/>
          <w:szCs w:val="24"/>
        </w:rPr>
        <w:t xml:space="preserve">achievement of the </w:t>
      </w:r>
      <w:r w:rsidR="002D519C">
        <w:rPr>
          <w:rFonts w:ascii="Times New Roman" w:hAnsi="Times New Roman"/>
          <w:sz w:val="24"/>
          <w:szCs w:val="24"/>
        </w:rPr>
        <w:t>following SQA</w:t>
      </w:r>
      <w:r w:rsidR="004042BE">
        <w:rPr>
          <w:rFonts w:ascii="Times New Roman" w:hAnsi="Times New Roman"/>
          <w:sz w:val="24"/>
          <w:szCs w:val="24"/>
        </w:rPr>
        <w:t>R</w:t>
      </w:r>
      <w:r w:rsidR="002D519C">
        <w:rPr>
          <w:rFonts w:ascii="Times New Roman" w:hAnsi="Times New Roman"/>
          <w:sz w:val="24"/>
          <w:szCs w:val="24"/>
        </w:rPr>
        <w:t>P</w:t>
      </w:r>
      <w:r w:rsidR="004042BE">
        <w:rPr>
          <w:rFonts w:ascii="Times New Roman" w:hAnsi="Times New Roman"/>
          <w:sz w:val="24"/>
          <w:szCs w:val="24"/>
        </w:rPr>
        <w:t>’s</w:t>
      </w:r>
      <w:r w:rsidR="002D519C">
        <w:rPr>
          <w:rFonts w:ascii="Times New Roman" w:hAnsi="Times New Roman"/>
          <w:sz w:val="24"/>
          <w:szCs w:val="24"/>
        </w:rPr>
        <w:t xml:space="preserve"> indicator: “</w:t>
      </w:r>
      <w:r w:rsidRPr="00636C27">
        <w:rPr>
          <w:rFonts w:ascii="Times New Roman" w:hAnsi="Times New Roman"/>
          <w:sz w:val="24"/>
          <w:szCs w:val="24"/>
        </w:rPr>
        <w:t>NAC staff performs risk-based monitoring of the financial statements following international standards and practices and applying e-tools</w:t>
      </w:r>
      <w:r w:rsidR="0087386D">
        <w:rPr>
          <w:rFonts w:ascii="Times New Roman" w:hAnsi="Times New Roman"/>
          <w:sz w:val="24"/>
          <w:szCs w:val="24"/>
        </w:rPr>
        <w:t>”</w:t>
      </w:r>
      <w:r w:rsidR="00C75A20">
        <w:rPr>
          <w:rFonts w:ascii="Times New Roman" w:hAnsi="Times New Roman"/>
          <w:sz w:val="24"/>
          <w:szCs w:val="24"/>
        </w:rPr>
        <w:t>, in particular:</w:t>
      </w:r>
    </w:p>
    <w:p w14:paraId="357D2208" w14:textId="5CD7503C" w:rsidR="00C75A20" w:rsidRPr="00C75A20" w:rsidRDefault="00C75A20" w:rsidP="00C75A20">
      <w:pPr>
        <w:jc w:val="both"/>
        <w:rPr>
          <w:rFonts w:ascii="Times New Roman" w:hAnsi="Times New Roman"/>
          <w:sz w:val="24"/>
          <w:szCs w:val="24"/>
        </w:rPr>
      </w:pPr>
      <w:r w:rsidRPr="00C75A20">
        <w:rPr>
          <w:rFonts w:ascii="Times New Roman" w:hAnsi="Times New Roman"/>
          <w:sz w:val="24"/>
          <w:szCs w:val="24"/>
        </w:rPr>
        <w:t>1.1.</w:t>
      </w:r>
      <w:r>
        <w:rPr>
          <w:rFonts w:ascii="Times New Roman" w:hAnsi="Times New Roman"/>
          <w:sz w:val="24"/>
          <w:szCs w:val="24"/>
        </w:rPr>
        <w:t xml:space="preserve"> </w:t>
      </w:r>
      <w:r w:rsidRPr="00C75A20">
        <w:rPr>
          <w:rFonts w:ascii="Times New Roman" w:hAnsi="Times New Roman"/>
          <w:sz w:val="24"/>
          <w:szCs w:val="24"/>
        </w:rPr>
        <w:t>Risk based methodology, including online tool to review IFRS financial statements and specialized structure developed for monitoring financial statements for NAC</w:t>
      </w:r>
    </w:p>
    <w:p w14:paraId="1C8F6B19" w14:textId="77777777" w:rsidR="00C75A20" w:rsidRPr="00C75A20" w:rsidRDefault="00C75A20" w:rsidP="00C75A20">
      <w:pPr>
        <w:jc w:val="both"/>
        <w:rPr>
          <w:rFonts w:ascii="Times New Roman" w:hAnsi="Times New Roman"/>
          <w:sz w:val="24"/>
          <w:szCs w:val="24"/>
        </w:rPr>
      </w:pPr>
      <w:r w:rsidRPr="00C75A20">
        <w:rPr>
          <w:rFonts w:ascii="Times New Roman" w:hAnsi="Times New Roman"/>
          <w:sz w:val="24"/>
          <w:szCs w:val="24"/>
        </w:rPr>
        <w:t>1.2.</w:t>
      </w:r>
      <w:r w:rsidRPr="00C75A20">
        <w:rPr>
          <w:rFonts w:ascii="Times New Roman" w:hAnsi="Times New Roman"/>
          <w:sz w:val="24"/>
          <w:szCs w:val="24"/>
        </w:rPr>
        <w:tab/>
        <w:t>Strengthened capacities at NAC (on site) on objectives, methodologies and research</w:t>
      </w:r>
    </w:p>
    <w:p w14:paraId="450C4E90" w14:textId="4F7B4F27" w:rsidR="00C75A20" w:rsidRPr="00C75A20" w:rsidRDefault="00C75A20" w:rsidP="00C75A20">
      <w:pPr>
        <w:jc w:val="both"/>
        <w:rPr>
          <w:rFonts w:ascii="Times New Roman" w:hAnsi="Times New Roman"/>
          <w:sz w:val="24"/>
          <w:szCs w:val="24"/>
        </w:rPr>
      </w:pPr>
      <w:r w:rsidRPr="00C75A20">
        <w:rPr>
          <w:rFonts w:ascii="Times New Roman" w:hAnsi="Times New Roman"/>
          <w:sz w:val="24"/>
          <w:szCs w:val="24"/>
        </w:rPr>
        <w:t>1.3.</w:t>
      </w:r>
      <w:r w:rsidRPr="00C75A20">
        <w:rPr>
          <w:rFonts w:ascii="Times New Roman" w:hAnsi="Times New Roman"/>
          <w:sz w:val="24"/>
          <w:szCs w:val="24"/>
        </w:rPr>
        <w:tab/>
        <w:t>Strengthened knowledge exchange channels with other standard setting bodies (at least</w:t>
      </w:r>
      <w:r w:rsidR="00B30A52">
        <w:rPr>
          <w:rFonts w:ascii="Times New Roman" w:hAnsi="Times New Roman"/>
          <w:sz w:val="24"/>
          <w:szCs w:val="24"/>
        </w:rPr>
        <w:t xml:space="preserve"> 1(one) one</w:t>
      </w:r>
      <w:r w:rsidRPr="00C75A20">
        <w:rPr>
          <w:rFonts w:ascii="Times New Roman" w:hAnsi="Times New Roman"/>
          <w:sz w:val="24"/>
          <w:szCs w:val="24"/>
        </w:rPr>
        <w:t xml:space="preserve"> exchange visits organized)</w:t>
      </w:r>
    </w:p>
    <w:p w14:paraId="598F7A14" w14:textId="48985C17" w:rsidR="00C75A20" w:rsidRDefault="00C75A20" w:rsidP="00C75A20">
      <w:pPr>
        <w:jc w:val="both"/>
        <w:rPr>
          <w:rFonts w:ascii="Times New Roman" w:hAnsi="Times New Roman"/>
          <w:sz w:val="24"/>
          <w:szCs w:val="24"/>
        </w:rPr>
      </w:pPr>
      <w:r w:rsidRPr="00C75A20">
        <w:rPr>
          <w:rFonts w:ascii="Times New Roman" w:hAnsi="Times New Roman"/>
          <w:sz w:val="24"/>
          <w:szCs w:val="24"/>
        </w:rPr>
        <w:lastRenderedPageBreak/>
        <w:t>1.5.</w:t>
      </w:r>
      <w:r w:rsidRPr="00C75A20">
        <w:rPr>
          <w:rFonts w:ascii="Times New Roman" w:hAnsi="Times New Roman"/>
          <w:sz w:val="24"/>
          <w:szCs w:val="24"/>
        </w:rPr>
        <w:tab/>
        <w:t xml:space="preserve">Strengthened capacities at AFSA for IFRS and financial reporting requirements enforcement, including use of e-tools (at least </w:t>
      </w:r>
      <w:r w:rsidR="00A3333F">
        <w:rPr>
          <w:rFonts w:ascii="Times New Roman" w:hAnsi="Times New Roman"/>
          <w:sz w:val="24"/>
          <w:szCs w:val="24"/>
        </w:rPr>
        <w:t>10</w:t>
      </w:r>
      <w:r w:rsidRPr="00C75A20">
        <w:rPr>
          <w:rFonts w:ascii="Times New Roman" w:hAnsi="Times New Roman"/>
          <w:sz w:val="24"/>
          <w:szCs w:val="24"/>
        </w:rPr>
        <w:t xml:space="preserve"> supervision staff from both institutions trained)</w:t>
      </w:r>
    </w:p>
    <w:p w14:paraId="7B598FB7" w14:textId="77777777" w:rsidR="00C75A20" w:rsidRPr="003F6A45" w:rsidRDefault="00C75A20" w:rsidP="0082672B">
      <w:pPr>
        <w:jc w:val="both"/>
        <w:rPr>
          <w:rFonts w:ascii="Times New Roman" w:hAnsi="Times New Roman"/>
          <w:sz w:val="24"/>
          <w:szCs w:val="24"/>
        </w:rPr>
      </w:pPr>
    </w:p>
    <w:p w14:paraId="11A27786" w14:textId="77777777" w:rsidR="00B0025E" w:rsidRDefault="00FE6D8C" w:rsidP="0082672B">
      <w:pPr>
        <w:pStyle w:val="ListParagraph"/>
        <w:numPr>
          <w:ilvl w:val="0"/>
          <w:numId w:val="5"/>
        </w:numPr>
        <w:spacing w:line="276" w:lineRule="auto"/>
        <w:jc w:val="both"/>
        <w:rPr>
          <w:rFonts w:ascii="Times New Roman" w:hAnsi="Times New Roman"/>
          <w:b/>
          <w:lang w:val="en-US"/>
        </w:rPr>
      </w:pPr>
      <w:bookmarkStart w:id="8" w:name="_Toc305707157"/>
      <w:r w:rsidRPr="003F6A45">
        <w:rPr>
          <w:rFonts w:ascii="Times New Roman" w:hAnsi="Times New Roman"/>
          <w:b/>
          <w:lang w:val="en-US"/>
        </w:rPr>
        <w:t>Scope of work</w:t>
      </w:r>
      <w:bookmarkEnd w:id="8"/>
    </w:p>
    <w:p w14:paraId="6A80397E" w14:textId="77777777" w:rsidR="005B06FC" w:rsidRPr="00F26718" w:rsidRDefault="005B06FC" w:rsidP="005B06FC">
      <w:pPr>
        <w:pStyle w:val="CommentText"/>
        <w:rPr>
          <w:rFonts w:ascii="Times New Roman" w:hAnsi="Times New Roman"/>
          <w:sz w:val="24"/>
          <w:szCs w:val="24"/>
          <w:lang w:val="en-US"/>
        </w:rPr>
      </w:pPr>
      <w:r w:rsidRPr="00F26718">
        <w:rPr>
          <w:rFonts w:ascii="Times New Roman" w:hAnsi="Times New Roman"/>
          <w:sz w:val="24"/>
          <w:szCs w:val="24"/>
          <w:lang w:val="en-US"/>
        </w:rPr>
        <w:t>The Consultant will provide technical assistance to support NAC in several areas. Firstly, the Consultant will support NAC to develop and apply a risk-based financial statements monitoring methodology, considering the feasibility of using online tools to review IFRS financial statements. This methodology will potentially be expanded to other regulators, such as FSA and Bank of Albania (</w:t>
      </w:r>
      <w:proofErr w:type="spellStart"/>
      <w:r w:rsidRPr="00F26718">
        <w:rPr>
          <w:rFonts w:ascii="Times New Roman" w:hAnsi="Times New Roman"/>
          <w:sz w:val="24"/>
          <w:szCs w:val="24"/>
          <w:lang w:val="en-US"/>
        </w:rPr>
        <w:t>BoA</w:t>
      </w:r>
      <w:proofErr w:type="spellEnd"/>
      <w:r w:rsidRPr="00F26718">
        <w:rPr>
          <w:rFonts w:ascii="Times New Roman" w:hAnsi="Times New Roman"/>
          <w:sz w:val="24"/>
          <w:szCs w:val="24"/>
          <w:lang w:val="en-US"/>
        </w:rPr>
        <w:t>).</w:t>
      </w:r>
    </w:p>
    <w:p w14:paraId="542A8764" w14:textId="77777777" w:rsidR="005B06FC" w:rsidRPr="00F26718" w:rsidRDefault="005B06FC" w:rsidP="005B06FC">
      <w:pPr>
        <w:pStyle w:val="CommentText"/>
        <w:rPr>
          <w:rFonts w:ascii="Times New Roman" w:hAnsi="Times New Roman"/>
          <w:sz w:val="24"/>
          <w:szCs w:val="24"/>
          <w:lang w:val="en-US"/>
        </w:rPr>
      </w:pPr>
      <w:r w:rsidRPr="00F26718">
        <w:rPr>
          <w:rFonts w:ascii="Times New Roman" w:hAnsi="Times New Roman"/>
          <w:sz w:val="24"/>
          <w:szCs w:val="24"/>
          <w:lang w:val="en-US"/>
        </w:rPr>
        <w:t>Secondly, the Consultant will provide technical assistance to support NAC in establishing a specialized structure within the institution for researching and monitoring. This will include providing capacity building (on-site) of staff in the NAC on objectives, methodologies, and research policies, as well as knowledge exchange activities.</w:t>
      </w:r>
    </w:p>
    <w:p w14:paraId="7E98E163" w14:textId="77777777" w:rsidR="005B06FC" w:rsidRPr="00F26718" w:rsidRDefault="005B06FC" w:rsidP="005B06FC">
      <w:pPr>
        <w:pStyle w:val="CommentText"/>
        <w:rPr>
          <w:rFonts w:ascii="Times New Roman" w:hAnsi="Times New Roman"/>
          <w:sz w:val="24"/>
          <w:szCs w:val="24"/>
          <w:lang w:val="en-US"/>
        </w:rPr>
      </w:pPr>
      <w:r w:rsidRPr="00F26718">
        <w:rPr>
          <w:rFonts w:ascii="Times New Roman" w:hAnsi="Times New Roman"/>
          <w:sz w:val="24"/>
          <w:szCs w:val="24"/>
          <w:lang w:val="en-US"/>
        </w:rPr>
        <w:t xml:space="preserve">Thirdly, the Consultant will support knowledge transfer to NAC from other standard-setting organizations. </w:t>
      </w:r>
    </w:p>
    <w:p w14:paraId="6CFEAE57" w14:textId="77777777" w:rsidR="00F26718" w:rsidRDefault="005B06FC" w:rsidP="0082672B">
      <w:pPr>
        <w:spacing w:after="120"/>
        <w:jc w:val="both"/>
        <w:rPr>
          <w:rFonts w:ascii="Times New Roman" w:hAnsi="Times New Roman"/>
          <w:sz w:val="24"/>
          <w:szCs w:val="24"/>
          <w:lang w:eastAsia="x-none"/>
        </w:rPr>
      </w:pPr>
      <w:r w:rsidRPr="00F26718">
        <w:rPr>
          <w:rFonts w:ascii="Times New Roman" w:hAnsi="Times New Roman"/>
          <w:sz w:val="24"/>
          <w:szCs w:val="24"/>
          <w:lang w:eastAsia="x-none"/>
        </w:rPr>
        <w:t>Additionally, The Consultant will provide support for AFSA to increase staff knowledge in the relevant International Financial Reporting Standards (IFRS), with a focus on IFRS 17 “Insurance contracts, and to review financial statements</w:t>
      </w:r>
      <w:r w:rsidR="00F26718">
        <w:rPr>
          <w:rFonts w:ascii="Times New Roman" w:hAnsi="Times New Roman"/>
          <w:sz w:val="24"/>
          <w:szCs w:val="24"/>
          <w:lang w:eastAsia="x-none"/>
        </w:rPr>
        <w:t>.</w:t>
      </w:r>
    </w:p>
    <w:p w14:paraId="72C3C747" w14:textId="520A3777" w:rsidR="00CC2376" w:rsidRPr="003F6A45" w:rsidRDefault="00CC2376" w:rsidP="0082672B">
      <w:pPr>
        <w:spacing w:after="120"/>
        <w:jc w:val="both"/>
        <w:rPr>
          <w:rFonts w:ascii="Times New Roman" w:hAnsi="Times New Roman"/>
          <w:sz w:val="24"/>
          <w:szCs w:val="24"/>
          <w:lang w:eastAsia="x-none"/>
        </w:rPr>
      </w:pPr>
      <w:r w:rsidRPr="003F6A45">
        <w:rPr>
          <w:rFonts w:ascii="Times New Roman" w:hAnsi="Times New Roman"/>
          <w:sz w:val="24"/>
          <w:szCs w:val="24"/>
          <w:lang w:eastAsia="x-none"/>
        </w:rPr>
        <w:t xml:space="preserve">The </w:t>
      </w:r>
      <w:r w:rsidR="00023531">
        <w:rPr>
          <w:rFonts w:ascii="Times New Roman" w:hAnsi="Times New Roman"/>
          <w:sz w:val="24"/>
          <w:szCs w:val="24"/>
          <w:lang w:eastAsia="x-none"/>
        </w:rPr>
        <w:t>C</w:t>
      </w:r>
      <w:r w:rsidRPr="003F6A45">
        <w:rPr>
          <w:rFonts w:ascii="Times New Roman" w:hAnsi="Times New Roman"/>
          <w:sz w:val="24"/>
          <w:szCs w:val="24"/>
          <w:lang w:eastAsia="x-none"/>
        </w:rPr>
        <w:t>onsultant will complete the following activities:</w:t>
      </w:r>
    </w:p>
    <w:p w14:paraId="20D0021C" w14:textId="77777777" w:rsidR="00235B1C" w:rsidRPr="003F6A45" w:rsidRDefault="00235B1C" w:rsidP="0082672B">
      <w:pPr>
        <w:pStyle w:val="ListParagraph"/>
        <w:spacing w:line="276" w:lineRule="auto"/>
        <w:ind w:left="375"/>
        <w:jc w:val="both"/>
        <w:rPr>
          <w:rFonts w:ascii="Times New Roman" w:hAnsi="Times New Roman"/>
          <w:lang w:val="en-US"/>
        </w:rPr>
      </w:pPr>
    </w:p>
    <w:p w14:paraId="4679C4D0" w14:textId="65E77B95" w:rsidR="001155DF" w:rsidRPr="00BE1276" w:rsidRDefault="00484ADB" w:rsidP="00BE1276">
      <w:pPr>
        <w:pStyle w:val="ListParagraph"/>
        <w:numPr>
          <w:ilvl w:val="1"/>
          <w:numId w:val="5"/>
        </w:numPr>
        <w:spacing w:line="276" w:lineRule="auto"/>
        <w:ind w:left="810" w:hanging="360"/>
        <w:jc w:val="both"/>
        <w:rPr>
          <w:rFonts w:ascii="Times New Roman" w:hAnsi="Times New Roman"/>
          <w:b/>
          <w:lang w:val="en-US"/>
        </w:rPr>
      </w:pPr>
      <w:bookmarkStart w:id="9" w:name="_Hlk118110406"/>
      <w:r>
        <w:rPr>
          <w:rFonts w:ascii="Times New Roman" w:hAnsi="Times New Roman"/>
          <w:b/>
          <w:lang w:val="sq-AL"/>
        </w:rPr>
        <w:t>S</w:t>
      </w:r>
      <w:r w:rsidRPr="00484ADB">
        <w:rPr>
          <w:rFonts w:ascii="Times New Roman" w:hAnsi="Times New Roman"/>
          <w:b/>
          <w:lang w:val="sq-AL"/>
        </w:rPr>
        <w:t xml:space="preserve">upport to NAC to develop and implement </w:t>
      </w:r>
      <w:bookmarkStart w:id="10" w:name="_Hlk139655616"/>
      <w:r w:rsidRPr="00484ADB">
        <w:rPr>
          <w:rFonts w:ascii="Times New Roman" w:hAnsi="Times New Roman"/>
          <w:b/>
          <w:lang w:val="sq-AL"/>
        </w:rPr>
        <w:t>a risk based Financial Statements monitoring methodology</w:t>
      </w:r>
      <w:bookmarkEnd w:id="10"/>
      <w:r w:rsidR="00981C67" w:rsidRPr="00484ADB">
        <w:rPr>
          <w:rFonts w:ascii="Times New Roman" w:hAnsi="Times New Roman"/>
          <w:b/>
          <w:lang w:val="en-US"/>
        </w:rPr>
        <w:t>.</w:t>
      </w:r>
    </w:p>
    <w:p w14:paraId="5B2879E5" w14:textId="441DD9A7" w:rsidR="00C32601" w:rsidRDefault="00865384" w:rsidP="0082672B">
      <w:pPr>
        <w:pStyle w:val="ListParagraph"/>
        <w:numPr>
          <w:ilvl w:val="2"/>
          <w:numId w:val="5"/>
        </w:numPr>
        <w:spacing w:line="276" w:lineRule="auto"/>
        <w:ind w:left="990" w:hanging="540"/>
        <w:jc w:val="both"/>
        <w:rPr>
          <w:rFonts w:ascii="Times New Roman" w:hAnsi="Times New Roman"/>
          <w:lang w:val="en-US"/>
        </w:rPr>
      </w:pPr>
      <w:r>
        <w:rPr>
          <w:rFonts w:ascii="Times New Roman" w:hAnsi="Times New Roman"/>
          <w:lang w:val="en-US"/>
        </w:rPr>
        <w:t xml:space="preserve">The </w:t>
      </w:r>
      <w:r w:rsidR="00454CAE">
        <w:rPr>
          <w:rFonts w:ascii="Times New Roman" w:hAnsi="Times New Roman"/>
          <w:lang w:val="en-US"/>
        </w:rPr>
        <w:t>C</w:t>
      </w:r>
      <w:r>
        <w:rPr>
          <w:rFonts w:ascii="Times New Roman" w:hAnsi="Times New Roman"/>
          <w:lang w:val="en-US"/>
        </w:rPr>
        <w:t xml:space="preserve">onsultant will </w:t>
      </w:r>
      <w:r w:rsidR="00DD19E6">
        <w:rPr>
          <w:rFonts w:ascii="Times New Roman" w:hAnsi="Times New Roman"/>
          <w:lang w:val="en-US"/>
        </w:rPr>
        <w:t>prepare</w:t>
      </w:r>
      <w:r w:rsidR="0083338B">
        <w:rPr>
          <w:rFonts w:ascii="Times New Roman" w:hAnsi="Times New Roman"/>
          <w:lang w:val="en-US"/>
        </w:rPr>
        <w:t xml:space="preserve"> a research methodology </w:t>
      </w:r>
      <w:r w:rsidR="00B35123">
        <w:rPr>
          <w:rFonts w:ascii="Times New Roman" w:hAnsi="Times New Roman"/>
          <w:lang w:val="en-US"/>
        </w:rPr>
        <w:t>to help</w:t>
      </w:r>
      <w:r w:rsidR="0083338B">
        <w:rPr>
          <w:rFonts w:ascii="Times New Roman" w:hAnsi="Times New Roman"/>
          <w:lang w:val="en-US"/>
        </w:rPr>
        <w:t xml:space="preserve"> NAC to </w:t>
      </w:r>
      <w:r w:rsidR="00B35123">
        <w:rPr>
          <w:rFonts w:ascii="Times New Roman" w:hAnsi="Times New Roman"/>
          <w:lang w:val="en-US"/>
        </w:rPr>
        <w:t>monitor the</w:t>
      </w:r>
      <w:r w:rsidR="0083338B">
        <w:rPr>
          <w:rFonts w:ascii="Times New Roman" w:hAnsi="Times New Roman"/>
          <w:lang w:val="en-US"/>
        </w:rPr>
        <w:t xml:space="preserve"> relevance, clarity and understanding, completeness, applicability of accounting standards that are part of the accounting framework in Albania. This will include the National Accounting Standards and International Financial Reporting Standards.</w:t>
      </w:r>
      <w:r w:rsidR="005462C2">
        <w:rPr>
          <w:rFonts w:ascii="Times New Roman" w:hAnsi="Times New Roman"/>
          <w:lang w:val="en-US"/>
        </w:rPr>
        <w:t xml:space="preserve"> </w:t>
      </w:r>
      <w:r w:rsidR="00B35123">
        <w:rPr>
          <w:rFonts w:ascii="Times New Roman" w:hAnsi="Times New Roman"/>
          <w:lang w:val="en-US"/>
        </w:rPr>
        <w:t>The information from the research shall be used to support NAC in initiation projects for standards improvements or release of interpretations or additional guidelines.</w:t>
      </w:r>
    </w:p>
    <w:p w14:paraId="41D7B339" w14:textId="77777777" w:rsidR="000C778B" w:rsidRDefault="005462C2" w:rsidP="0082672B">
      <w:pPr>
        <w:pStyle w:val="ListParagraph"/>
        <w:spacing w:line="276" w:lineRule="auto"/>
        <w:ind w:left="990"/>
        <w:jc w:val="both"/>
        <w:rPr>
          <w:rFonts w:ascii="Times New Roman" w:hAnsi="Times New Roman"/>
          <w:lang w:val="en-US"/>
        </w:rPr>
      </w:pPr>
      <w:r>
        <w:rPr>
          <w:rFonts w:ascii="Times New Roman" w:hAnsi="Times New Roman"/>
          <w:lang w:val="en-US"/>
        </w:rPr>
        <w:t>The methodology should provide</w:t>
      </w:r>
      <w:r w:rsidR="000C778B">
        <w:rPr>
          <w:rFonts w:ascii="Times New Roman" w:hAnsi="Times New Roman"/>
          <w:lang w:val="en-US"/>
        </w:rPr>
        <w:t>:</w:t>
      </w:r>
    </w:p>
    <w:p w14:paraId="036B85D3" w14:textId="073A1C20" w:rsidR="000C778B" w:rsidRPr="00BE1276" w:rsidRDefault="000C778B" w:rsidP="00A5756C">
      <w:pPr>
        <w:pStyle w:val="ListParagraph"/>
        <w:numPr>
          <w:ilvl w:val="0"/>
          <w:numId w:val="6"/>
        </w:numPr>
        <w:tabs>
          <w:tab w:val="left" w:pos="3510"/>
        </w:tabs>
        <w:spacing w:line="276" w:lineRule="auto"/>
        <w:jc w:val="both"/>
        <w:rPr>
          <w:rFonts w:ascii="Times New Roman" w:hAnsi="Times New Roman"/>
          <w:lang w:val="en-US"/>
        </w:rPr>
      </w:pPr>
      <w:r>
        <w:rPr>
          <w:rFonts w:ascii="Times New Roman" w:hAnsi="Times New Roman"/>
          <w:lang w:val="en-US"/>
        </w:rPr>
        <w:t xml:space="preserve">A set of specific objectives </w:t>
      </w:r>
      <w:r w:rsidR="00BE1276">
        <w:rPr>
          <w:rFonts w:ascii="Times New Roman" w:hAnsi="Times New Roman"/>
          <w:lang w:val="en-US"/>
        </w:rPr>
        <w:t>to</w:t>
      </w:r>
      <w:r w:rsidR="002B6D1D">
        <w:rPr>
          <w:rFonts w:ascii="Times New Roman" w:hAnsi="Times New Roman"/>
          <w:lang w:val="en-US"/>
        </w:rPr>
        <w:t xml:space="preserve"> assess</w:t>
      </w:r>
      <w:r w:rsidR="00BE1276">
        <w:rPr>
          <w:rFonts w:ascii="Times New Roman" w:hAnsi="Times New Roman"/>
          <w:lang w:val="en-US"/>
        </w:rPr>
        <w:t xml:space="preserve"> </w:t>
      </w:r>
      <w:r w:rsidR="00E17E77">
        <w:rPr>
          <w:rFonts w:ascii="Times New Roman" w:hAnsi="Times New Roman"/>
          <w:lang w:val="en-US"/>
        </w:rPr>
        <w:t>the applicability of the existing standards, the identification of the gaps or ambiguities of the accounting framework,</w:t>
      </w:r>
      <w:r w:rsidR="00131247">
        <w:rPr>
          <w:rFonts w:ascii="Times New Roman" w:hAnsi="Times New Roman"/>
          <w:lang w:val="en-US"/>
        </w:rPr>
        <w:t xml:space="preserve"> the impact assessment in the improvement of quality of the financial reporting etc.</w:t>
      </w:r>
      <w:r w:rsidR="00E17E77">
        <w:rPr>
          <w:rFonts w:ascii="Times New Roman" w:hAnsi="Times New Roman"/>
          <w:lang w:val="en-US"/>
        </w:rPr>
        <w:t xml:space="preserve">  </w:t>
      </w:r>
    </w:p>
    <w:p w14:paraId="0A47707B" w14:textId="11106322" w:rsidR="00AB25B9" w:rsidRPr="00BE1276" w:rsidRDefault="000C778B" w:rsidP="00A5756C">
      <w:pPr>
        <w:pStyle w:val="ListParagraph"/>
        <w:numPr>
          <w:ilvl w:val="0"/>
          <w:numId w:val="6"/>
        </w:numPr>
        <w:tabs>
          <w:tab w:val="left" w:pos="3510"/>
        </w:tabs>
        <w:spacing w:line="276" w:lineRule="auto"/>
        <w:jc w:val="both"/>
        <w:rPr>
          <w:rFonts w:ascii="Times New Roman" w:hAnsi="Times New Roman"/>
          <w:lang w:val="en-US"/>
        </w:rPr>
      </w:pPr>
      <w:r>
        <w:rPr>
          <w:rFonts w:ascii="Times New Roman" w:hAnsi="Times New Roman"/>
          <w:lang w:val="en-US"/>
        </w:rPr>
        <w:t>G</w:t>
      </w:r>
      <w:r w:rsidR="005462C2">
        <w:rPr>
          <w:rFonts w:ascii="Times New Roman" w:hAnsi="Times New Roman"/>
          <w:lang w:val="en-US"/>
        </w:rPr>
        <w:t>uidelines</w:t>
      </w:r>
      <w:r w:rsidR="00E137E8">
        <w:rPr>
          <w:rFonts w:ascii="Times New Roman" w:hAnsi="Times New Roman"/>
          <w:lang w:val="en-US"/>
        </w:rPr>
        <w:t xml:space="preserve"> </w:t>
      </w:r>
      <w:r w:rsidR="002B6D1D">
        <w:rPr>
          <w:rFonts w:ascii="Times New Roman" w:hAnsi="Times New Roman"/>
          <w:lang w:val="en-US"/>
        </w:rPr>
        <w:t>how the</w:t>
      </w:r>
      <w:r w:rsidR="00870E12">
        <w:rPr>
          <w:rFonts w:ascii="Times New Roman" w:hAnsi="Times New Roman"/>
          <w:lang w:val="en-US"/>
        </w:rPr>
        <w:t xml:space="preserve"> sample</w:t>
      </w:r>
      <w:r w:rsidR="002B6D1D">
        <w:rPr>
          <w:rFonts w:ascii="Times New Roman" w:hAnsi="Times New Roman"/>
          <w:lang w:val="en-US"/>
        </w:rPr>
        <w:t xml:space="preserve"> will be selected</w:t>
      </w:r>
      <w:r w:rsidR="00C32601">
        <w:rPr>
          <w:rFonts w:ascii="Times New Roman" w:hAnsi="Times New Roman"/>
          <w:lang w:val="en-US"/>
        </w:rPr>
        <w:t xml:space="preserve"> from firms that operate in the market</w:t>
      </w:r>
      <w:r w:rsidR="00BE1276">
        <w:rPr>
          <w:rFonts w:ascii="Times New Roman" w:hAnsi="Times New Roman"/>
          <w:lang w:val="en-US"/>
        </w:rPr>
        <w:t>,</w:t>
      </w:r>
      <w:r w:rsidR="00870E12">
        <w:rPr>
          <w:rFonts w:ascii="Times New Roman" w:hAnsi="Times New Roman"/>
          <w:lang w:val="en-US"/>
        </w:rPr>
        <w:t xml:space="preserve"> </w:t>
      </w:r>
      <w:r w:rsidR="00C32601">
        <w:rPr>
          <w:rFonts w:ascii="Times New Roman" w:hAnsi="Times New Roman"/>
          <w:lang w:val="en-US"/>
        </w:rPr>
        <w:t xml:space="preserve">taking care that </w:t>
      </w:r>
      <w:r w:rsidR="002B6D1D">
        <w:rPr>
          <w:rFonts w:ascii="Times New Roman" w:hAnsi="Times New Roman"/>
          <w:lang w:val="en-US"/>
        </w:rPr>
        <w:t xml:space="preserve">a </w:t>
      </w:r>
      <w:r w:rsidR="00C32601">
        <w:rPr>
          <w:rFonts w:ascii="Times New Roman" w:hAnsi="Times New Roman"/>
          <w:lang w:val="en-US"/>
        </w:rPr>
        <w:t>stratified selection to be considered in order to capture data from the different sets of standards and also from the different industries.</w:t>
      </w:r>
      <w:r w:rsidR="00D44E8C">
        <w:rPr>
          <w:rFonts w:ascii="Times New Roman" w:hAnsi="Times New Roman"/>
          <w:lang w:val="en-US"/>
        </w:rPr>
        <w:t xml:space="preserve"> A risk assessment analysis that </w:t>
      </w:r>
      <w:r w:rsidR="00454CAE">
        <w:rPr>
          <w:rFonts w:ascii="Times New Roman" w:hAnsi="Times New Roman"/>
          <w:lang w:val="en-US"/>
        </w:rPr>
        <w:t>considers</w:t>
      </w:r>
      <w:r w:rsidR="00D44E8C">
        <w:rPr>
          <w:rFonts w:ascii="Times New Roman" w:hAnsi="Times New Roman"/>
          <w:lang w:val="en-US"/>
        </w:rPr>
        <w:t xml:space="preserve"> the different factors of risks as the complexity of standards, the market capitalization of different industries, the size and classification of the firms, the fact if the financial statements are or not </w:t>
      </w:r>
      <w:r w:rsidR="00D44E8C">
        <w:rPr>
          <w:rFonts w:ascii="Times New Roman" w:hAnsi="Times New Roman"/>
          <w:lang w:val="en-US"/>
        </w:rPr>
        <w:lastRenderedPageBreak/>
        <w:t xml:space="preserve">audited etc., should </w:t>
      </w:r>
      <w:r w:rsidR="002B6D1D">
        <w:rPr>
          <w:rFonts w:ascii="Times New Roman" w:hAnsi="Times New Roman"/>
          <w:lang w:val="en-US"/>
        </w:rPr>
        <w:t xml:space="preserve">be part of the methodology and </w:t>
      </w:r>
      <w:r w:rsidR="00D44E8C">
        <w:rPr>
          <w:rFonts w:ascii="Times New Roman" w:hAnsi="Times New Roman"/>
          <w:lang w:val="en-US"/>
        </w:rPr>
        <w:t>precede the sample selection process.</w:t>
      </w:r>
    </w:p>
    <w:p w14:paraId="5825A384" w14:textId="3B19D8F4" w:rsidR="00AB25B9" w:rsidRPr="00BE1276" w:rsidRDefault="000C778B" w:rsidP="0082672B">
      <w:pPr>
        <w:pStyle w:val="ListParagraph"/>
        <w:numPr>
          <w:ilvl w:val="0"/>
          <w:numId w:val="6"/>
        </w:numPr>
        <w:spacing w:line="276" w:lineRule="auto"/>
        <w:jc w:val="both"/>
        <w:rPr>
          <w:rFonts w:ascii="Times New Roman" w:hAnsi="Times New Roman"/>
          <w:lang w:val="en-US"/>
        </w:rPr>
      </w:pPr>
      <w:r>
        <w:rPr>
          <w:rFonts w:ascii="Times New Roman" w:hAnsi="Times New Roman"/>
          <w:lang w:val="en-US"/>
        </w:rPr>
        <w:t xml:space="preserve">Identification of data sources, the type of data to be used for each research objective, focusing in the written and non-written primary data sources on the topics under investigation as </w:t>
      </w:r>
      <w:r w:rsidRPr="000C778B">
        <w:rPr>
          <w:rFonts w:ascii="Times New Roman" w:hAnsi="Times New Roman"/>
          <w:lang w:val="en-US"/>
        </w:rPr>
        <w:t>annual reports</w:t>
      </w:r>
      <w:r>
        <w:rPr>
          <w:rFonts w:ascii="Times New Roman" w:hAnsi="Times New Roman"/>
          <w:lang w:val="en-US"/>
        </w:rPr>
        <w:t>,</w:t>
      </w:r>
      <w:r w:rsidRPr="000C778B">
        <w:rPr>
          <w:rFonts w:ascii="Times New Roman" w:hAnsi="Times New Roman"/>
          <w:lang w:val="en-US"/>
        </w:rPr>
        <w:t xml:space="preserve"> </w:t>
      </w:r>
      <w:r>
        <w:rPr>
          <w:rFonts w:ascii="Times New Roman" w:hAnsi="Times New Roman"/>
          <w:lang w:val="en-US"/>
        </w:rPr>
        <w:t>i</w:t>
      </w:r>
      <w:r w:rsidRPr="000C778B">
        <w:rPr>
          <w:rFonts w:ascii="Times New Roman" w:hAnsi="Times New Roman"/>
          <w:lang w:val="en-US"/>
        </w:rPr>
        <w:t>nterview transcripts</w:t>
      </w:r>
      <w:r>
        <w:rPr>
          <w:rFonts w:ascii="Times New Roman" w:hAnsi="Times New Roman"/>
          <w:lang w:val="en-US"/>
        </w:rPr>
        <w:t>,</w:t>
      </w:r>
      <w:r w:rsidRPr="000C778B">
        <w:rPr>
          <w:rFonts w:ascii="Times New Roman" w:hAnsi="Times New Roman"/>
          <w:lang w:val="en-US"/>
        </w:rPr>
        <w:t xml:space="preserve"> </w:t>
      </w:r>
      <w:r>
        <w:rPr>
          <w:rFonts w:ascii="Times New Roman" w:hAnsi="Times New Roman"/>
          <w:lang w:val="en-US"/>
        </w:rPr>
        <w:t>f</w:t>
      </w:r>
      <w:r w:rsidRPr="000C778B">
        <w:rPr>
          <w:rFonts w:ascii="Times New Roman" w:hAnsi="Times New Roman"/>
          <w:lang w:val="en-US"/>
        </w:rPr>
        <w:t>ield notes from focus groups</w:t>
      </w:r>
      <w:r>
        <w:rPr>
          <w:rFonts w:ascii="Times New Roman" w:hAnsi="Times New Roman"/>
          <w:lang w:val="en-US"/>
        </w:rPr>
        <w:t>,</w:t>
      </w:r>
      <w:r w:rsidRPr="000C778B">
        <w:rPr>
          <w:rFonts w:ascii="Times New Roman" w:hAnsi="Times New Roman"/>
          <w:lang w:val="en-US"/>
        </w:rPr>
        <w:t xml:space="preserve"> </w:t>
      </w:r>
      <w:r>
        <w:rPr>
          <w:rFonts w:ascii="Times New Roman" w:hAnsi="Times New Roman"/>
          <w:lang w:val="en-US"/>
        </w:rPr>
        <w:t>d</w:t>
      </w:r>
      <w:r w:rsidRPr="000C778B">
        <w:rPr>
          <w:rFonts w:ascii="Times New Roman" w:hAnsi="Times New Roman"/>
          <w:lang w:val="en-US"/>
        </w:rPr>
        <w:t>iaries, journals and memoirs</w:t>
      </w:r>
      <w:r>
        <w:rPr>
          <w:rFonts w:ascii="Times New Roman" w:hAnsi="Times New Roman"/>
          <w:lang w:val="en-US"/>
        </w:rPr>
        <w:t>,</w:t>
      </w:r>
      <w:r w:rsidRPr="000C778B">
        <w:rPr>
          <w:rFonts w:ascii="Times New Roman" w:hAnsi="Times New Roman"/>
          <w:lang w:val="en-US"/>
        </w:rPr>
        <w:t xml:space="preserve"> </w:t>
      </w:r>
      <w:r>
        <w:rPr>
          <w:rFonts w:ascii="Times New Roman" w:hAnsi="Times New Roman"/>
          <w:lang w:val="en-US"/>
        </w:rPr>
        <w:t>n</w:t>
      </w:r>
      <w:r w:rsidRPr="000C778B">
        <w:rPr>
          <w:rFonts w:ascii="Times New Roman" w:hAnsi="Times New Roman"/>
          <w:lang w:val="en-US"/>
        </w:rPr>
        <w:t>ewspapers (written at the time of the event)</w:t>
      </w:r>
      <w:r>
        <w:rPr>
          <w:rFonts w:ascii="Times New Roman" w:hAnsi="Times New Roman"/>
          <w:lang w:val="en-US"/>
        </w:rPr>
        <w:t>,</w:t>
      </w:r>
      <w:r w:rsidRPr="000C778B">
        <w:rPr>
          <w:rFonts w:ascii="Times New Roman" w:hAnsi="Times New Roman"/>
          <w:lang w:val="en-US"/>
        </w:rPr>
        <w:t xml:space="preserve"> </w:t>
      </w:r>
      <w:r>
        <w:rPr>
          <w:rFonts w:ascii="Times New Roman" w:hAnsi="Times New Roman"/>
          <w:lang w:val="en-US"/>
        </w:rPr>
        <w:t>audio and v</w:t>
      </w:r>
      <w:r w:rsidRPr="000C778B">
        <w:rPr>
          <w:rFonts w:ascii="Times New Roman" w:hAnsi="Times New Roman"/>
          <w:lang w:val="en-US"/>
        </w:rPr>
        <w:t xml:space="preserve">ideo recordings </w:t>
      </w:r>
      <w:r>
        <w:rPr>
          <w:rFonts w:ascii="Times New Roman" w:hAnsi="Times New Roman"/>
          <w:lang w:val="en-US"/>
        </w:rPr>
        <w:t>etc.</w:t>
      </w:r>
    </w:p>
    <w:p w14:paraId="06B001FF" w14:textId="12852EAD" w:rsidR="00F62D2B" w:rsidRPr="00BE1276" w:rsidRDefault="00C32601" w:rsidP="0082672B">
      <w:pPr>
        <w:pStyle w:val="ListParagraph"/>
        <w:numPr>
          <w:ilvl w:val="0"/>
          <w:numId w:val="6"/>
        </w:numPr>
        <w:spacing w:line="276" w:lineRule="auto"/>
        <w:jc w:val="both"/>
        <w:rPr>
          <w:rFonts w:ascii="Times New Roman" w:hAnsi="Times New Roman"/>
          <w:lang w:val="en-US"/>
        </w:rPr>
      </w:pPr>
      <w:r w:rsidRPr="000C778B">
        <w:rPr>
          <w:rFonts w:ascii="Times New Roman" w:hAnsi="Times New Roman"/>
          <w:lang w:val="en-US"/>
        </w:rPr>
        <w:t xml:space="preserve"> </w:t>
      </w:r>
      <w:r w:rsidR="001D3C2F" w:rsidRPr="000C778B">
        <w:rPr>
          <w:rFonts w:ascii="Times New Roman" w:hAnsi="Times New Roman"/>
          <w:lang w:val="en-US"/>
        </w:rPr>
        <w:t>The</w:t>
      </w:r>
      <w:r w:rsidRPr="000C778B">
        <w:rPr>
          <w:rFonts w:ascii="Times New Roman" w:hAnsi="Times New Roman"/>
          <w:lang w:val="en-US"/>
        </w:rPr>
        <w:t xml:space="preserve"> methodology </w:t>
      </w:r>
      <w:r w:rsidR="00F62D2B" w:rsidRPr="000C778B">
        <w:rPr>
          <w:rFonts w:ascii="Times New Roman" w:hAnsi="Times New Roman"/>
        </w:rPr>
        <w:t>should</w:t>
      </w:r>
      <w:r w:rsidRPr="000C778B">
        <w:rPr>
          <w:rFonts w:ascii="Times New Roman" w:hAnsi="Times New Roman"/>
        </w:rPr>
        <w:t xml:space="preserve"> </w:t>
      </w:r>
      <w:r w:rsidR="00F62D2B" w:rsidRPr="000C778B">
        <w:rPr>
          <w:rFonts w:ascii="Times New Roman" w:hAnsi="Times New Roman"/>
        </w:rPr>
        <w:t xml:space="preserve">design the appropriate tools </w:t>
      </w:r>
      <w:r w:rsidR="00F62D2B" w:rsidRPr="000C778B">
        <w:rPr>
          <w:rFonts w:ascii="Times New Roman" w:hAnsi="Times New Roman"/>
          <w:lang w:val="en-US"/>
        </w:rPr>
        <w:t>for data</w:t>
      </w:r>
      <w:r w:rsidR="00EA48CE" w:rsidRPr="000C778B">
        <w:rPr>
          <w:rFonts w:ascii="Times New Roman" w:hAnsi="Times New Roman"/>
          <w:lang w:val="en-US"/>
        </w:rPr>
        <w:t xml:space="preserve"> collection and to prepare the templates and questionnaires tailored for different set of standards or for different industries.</w:t>
      </w:r>
    </w:p>
    <w:p w14:paraId="29493CB3" w14:textId="77777777" w:rsidR="00F62D2B" w:rsidRPr="00C32601" w:rsidRDefault="00F62D2B" w:rsidP="0082672B">
      <w:pPr>
        <w:pStyle w:val="ListParagraph"/>
        <w:spacing w:line="276" w:lineRule="auto"/>
        <w:ind w:left="990"/>
        <w:jc w:val="both"/>
        <w:rPr>
          <w:rFonts w:ascii="Times New Roman" w:hAnsi="Times New Roman"/>
          <w:lang w:val="en-US"/>
        </w:rPr>
      </w:pPr>
    </w:p>
    <w:p w14:paraId="3BEFD99D" w14:textId="4D74C314" w:rsidR="00B35123" w:rsidRDefault="00B35123" w:rsidP="0082672B">
      <w:pPr>
        <w:pStyle w:val="ListParagraph"/>
        <w:numPr>
          <w:ilvl w:val="2"/>
          <w:numId w:val="5"/>
        </w:numPr>
        <w:spacing w:line="276" w:lineRule="auto"/>
        <w:ind w:left="990" w:hanging="540"/>
        <w:jc w:val="both"/>
        <w:rPr>
          <w:rFonts w:ascii="Times New Roman" w:hAnsi="Times New Roman"/>
          <w:lang w:val="en-US"/>
        </w:rPr>
      </w:pPr>
      <w:r>
        <w:rPr>
          <w:rFonts w:ascii="Times New Roman" w:hAnsi="Times New Roman"/>
          <w:lang w:val="en-US"/>
        </w:rPr>
        <w:t xml:space="preserve">The </w:t>
      </w:r>
      <w:r w:rsidR="00454CAE">
        <w:rPr>
          <w:rFonts w:ascii="Times New Roman" w:hAnsi="Times New Roman"/>
          <w:lang w:val="en-US"/>
        </w:rPr>
        <w:t>C</w:t>
      </w:r>
      <w:r>
        <w:rPr>
          <w:rFonts w:ascii="Times New Roman" w:hAnsi="Times New Roman"/>
          <w:lang w:val="en-US"/>
        </w:rPr>
        <w:t xml:space="preserve">onsultant will support NAC to prepare a methodology for the review of the financial statements of the firms with aim to get direct information for the accuracy and completeness the accounting standards are being applied. The </w:t>
      </w:r>
      <w:r w:rsidR="003533BD">
        <w:rPr>
          <w:rFonts w:ascii="Times New Roman" w:hAnsi="Times New Roman"/>
          <w:lang w:val="en-US"/>
        </w:rPr>
        <w:t xml:space="preserve">main </w:t>
      </w:r>
      <w:r>
        <w:rPr>
          <w:rFonts w:ascii="Times New Roman" w:hAnsi="Times New Roman"/>
          <w:lang w:val="en-US"/>
        </w:rPr>
        <w:t>outcome</w:t>
      </w:r>
      <w:r w:rsidR="003533BD">
        <w:rPr>
          <w:rFonts w:ascii="Times New Roman" w:hAnsi="Times New Roman"/>
          <w:lang w:val="en-US"/>
        </w:rPr>
        <w:t>s</w:t>
      </w:r>
      <w:r>
        <w:rPr>
          <w:rFonts w:ascii="Times New Roman" w:hAnsi="Times New Roman"/>
          <w:lang w:val="en-US"/>
        </w:rPr>
        <w:t xml:space="preserve"> of the review </w:t>
      </w:r>
      <w:r w:rsidR="003533BD">
        <w:rPr>
          <w:rFonts w:ascii="Times New Roman" w:hAnsi="Times New Roman"/>
          <w:lang w:val="en-US"/>
        </w:rPr>
        <w:t xml:space="preserve">of the financial statements are </w:t>
      </w:r>
      <w:r>
        <w:rPr>
          <w:rFonts w:ascii="Times New Roman" w:hAnsi="Times New Roman"/>
          <w:lang w:val="en-US"/>
        </w:rPr>
        <w:t>to identify areas of accounting or specific accounting standards f</w:t>
      </w:r>
      <w:r w:rsidR="00094388">
        <w:rPr>
          <w:rFonts w:ascii="Times New Roman" w:hAnsi="Times New Roman"/>
          <w:lang w:val="en-US"/>
        </w:rPr>
        <w:t xml:space="preserve">ully or </w:t>
      </w:r>
      <w:r>
        <w:rPr>
          <w:rFonts w:ascii="Times New Roman" w:hAnsi="Times New Roman"/>
          <w:lang w:val="en-US"/>
        </w:rPr>
        <w:t xml:space="preserve">in part where further guidance is needed from NAC or the </w:t>
      </w:r>
      <w:r w:rsidR="003533BD">
        <w:rPr>
          <w:rFonts w:ascii="Times New Roman" w:hAnsi="Times New Roman"/>
          <w:lang w:val="en-US"/>
        </w:rPr>
        <w:t>issues are to be addressed as a capacity building needs to professional accounting organizations.</w:t>
      </w:r>
    </w:p>
    <w:p w14:paraId="7E0F9401" w14:textId="136CBF51" w:rsidR="00094388" w:rsidRDefault="00094388" w:rsidP="0082672B">
      <w:pPr>
        <w:pStyle w:val="ListParagraph"/>
        <w:spacing w:line="276" w:lineRule="auto"/>
        <w:ind w:left="990"/>
        <w:jc w:val="both"/>
        <w:rPr>
          <w:rFonts w:ascii="Times New Roman" w:hAnsi="Times New Roman"/>
          <w:lang w:val="en-US"/>
        </w:rPr>
      </w:pPr>
      <w:r>
        <w:rPr>
          <w:rFonts w:ascii="Times New Roman" w:hAnsi="Times New Roman"/>
          <w:lang w:val="en-US"/>
        </w:rPr>
        <w:t xml:space="preserve">To complete this activity, the </w:t>
      </w:r>
      <w:r w:rsidR="00454CAE">
        <w:rPr>
          <w:rFonts w:ascii="Times New Roman" w:hAnsi="Times New Roman"/>
          <w:lang w:val="en-US"/>
        </w:rPr>
        <w:t>C</w:t>
      </w:r>
      <w:r>
        <w:rPr>
          <w:rFonts w:ascii="Times New Roman" w:hAnsi="Times New Roman"/>
          <w:lang w:val="en-US"/>
        </w:rPr>
        <w:t>onsultant should support NAC as follow:</w:t>
      </w:r>
    </w:p>
    <w:p w14:paraId="759D9AED" w14:textId="4DF4533A" w:rsidR="00AB25B9" w:rsidRPr="00BE1276" w:rsidRDefault="00094388" w:rsidP="00BE1276">
      <w:pPr>
        <w:pStyle w:val="ListParagraph"/>
        <w:numPr>
          <w:ilvl w:val="0"/>
          <w:numId w:val="7"/>
        </w:numPr>
        <w:spacing w:line="276" w:lineRule="auto"/>
        <w:jc w:val="both"/>
        <w:rPr>
          <w:rFonts w:ascii="Times New Roman" w:hAnsi="Times New Roman"/>
          <w:lang w:val="en-US"/>
        </w:rPr>
      </w:pPr>
      <w:r>
        <w:rPr>
          <w:rFonts w:ascii="Times New Roman" w:hAnsi="Times New Roman"/>
          <w:lang w:val="en-US"/>
        </w:rPr>
        <w:t>Prepare a risk</w:t>
      </w:r>
      <w:r w:rsidR="00BE1276">
        <w:rPr>
          <w:rFonts w:ascii="Times New Roman" w:hAnsi="Times New Roman"/>
          <w:lang w:val="en-US"/>
        </w:rPr>
        <w:t>-</w:t>
      </w:r>
      <w:r>
        <w:rPr>
          <w:rFonts w:ascii="Times New Roman" w:hAnsi="Times New Roman"/>
          <w:lang w:val="en-US"/>
        </w:rPr>
        <w:t xml:space="preserve">based methodology </w:t>
      </w:r>
      <w:r w:rsidR="00FF622A">
        <w:rPr>
          <w:rFonts w:ascii="Times New Roman" w:hAnsi="Times New Roman"/>
          <w:lang w:val="en-US"/>
        </w:rPr>
        <w:t xml:space="preserve">for </w:t>
      </w:r>
      <w:r>
        <w:rPr>
          <w:rFonts w:ascii="Times New Roman" w:hAnsi="Times New Roman"/>
          <w:lang w:val="en-US"/>
        </w:rPr>
        <w:t xml:space="preserve">identification of the firms, whose financial statements will be selected for review; </w:t>
      </w:r>
      <w:proofErr w:type="gramStart"/>
      <w:r>
        <w:rPr>
          <w:rFonts w:ascii="Times New Roman" w:hAnsi="Times New Roman"/>
          <w:lang w:val="en-US"/>
        </w:rPr>
        <w:t>The</w:t>
      </w:r>
      <w:proofErr w:type="gramEnd"/>
      <w:r>
        <w:rPr>
          <w:rFonts w:ascii="Times New Roman" w:hAnsi="Times New Roman"/>
          <w:lang w:val="en-US"/>
        </w:rPr>
        <w:t xml:space="preserve"> information collected from the monitoring process organized as in point 3.1.1 will serve as basis for identification of the firms.</w:t>
      </w:r>
    </w:p>
    <w:p w14:paraId="3A4D6E22" w14:textId="2842FB86" w:rsidR="00AB25B9" w:rsidRPr="00BE1276" w:rsidRDefault="00FF622A" w:rsidP="0082672B">
      <w:pPr>
        <w:pStyle w:val="ListParagraph"/>
        <w:numPr>
          <w:ilvl w:val="0"/>
          <w:numId w:val="7"/>
        </w:numPr>
        <w:spacing w:line="276" w:lineRule="auto"/>
        <w:jc w:val="both"/>
        <w:rPr>
          <w:rFonts w:ascii="Times New Roman" w:hAnsi="Times New Roman"/>
          <w:lang w:val="en-US"/>
        </w:rPr>
      </w:pPr>
      <w:r>
        <w:rPr>
          <w:rFonts w:ascii="Times New Roman" w:hAnsi="Times New Roman"/>
          <w:lang w:val="en-US"/>
        </w:rPr>
        <w:t>Adapt a methodology for review of the financial statements with focus to assist the National Accounting Council to carry out its objectives as a standard setter and to make informed decisions in starting new projects for updating or adopting standards.</w:t>
      </w:r>
    </w:p>
    <w:p w14:paraId="7A29265D" w14:textId="0F9C51DC" w:rsidR="00F270EF" w:rsidRDefault="00FF622A" w:rsidP="0082672B">
      <w:pPr>
        <w:pStyle w:val="ListParagraph"/>
        <w:numPr>
          <w:ilvl w:val="0"/>
          <w:numId w:val="7"/>
        </w:numPr>
        <w:spacing w:line="276" w:lineRule="auto"/>
        <w:jc w:val="both"/>
        <w:rPr>
          <w:rFonts w:ascii="Times New Roman" w:hAnsi="Times New Roman"/>
          <w:lang w:val="en-US"/>
        </w:rPr>
      </w:pPr>
      <w:r w:rsidRPr="00F270EF">
        <w:rPr>
          <w:rFonts w:ascii="Times New Roman" w:hAnsi="Times New Roman"/>
          <w:lang w:val="en-US"/>
        </w:rPr>
        <w:t>Identifies a set of review procedures that fit most with the above mention objectives</w:t>
      </w:r>
      <w:r w:rsidR="00F270EF" w:rsidRPr="00F270EF">
        <w:rPr>
          <w:rFonts w:ascii="Times New Roman" w:hAnsi="Times New Roman"/>
          <w:lang w:val="en-US"/>
        </w:rPr>
        <w:t xml:space="preserve"> avoiding the unnecessary procedures that serve the purpose of providing limited assurance for the quality of financial statements. Provide guidelines for following procedures </w:t>
      </w:r>
      <w:r w:rsidR="00AB25B9">
        <w:rPr>
          <w:rFonts w:ascii="Times New Roman" w:hAnsi="Times New Roman"/>
          <w:lang w:val="en-US"/>
        </w:rPr>
        <w:t xml:space="preserve">in the high risk areas </w:t>
      </w:r>
      <w:r w:rsidR="00F270EF" w:rsidRPr="00F270EF">
        <w:rPr>
          <w:rFonts w:ascii="Times New Roman" w:hAnsi="Times New Roman"/>
          <w:lang w:val="en-US"/>
        </w:rPr>
        <w:t>as</w:t>
      </w:r>
      <w:r w:rsidR="00F270EF">
        <w:rPr>
          <w:rFonts w:ascii="Times New Roman" w:hAnsi="Times New Roman"/>
          <w:lang w:val="en-US"/>
        </w:rPr>
        <w:t>:</w:t>
      </w:r>
      <w:r w:rsidR="00F270EF" w:rsidRPr="00F270EF">
        <w:rPr>
          <w:rFonts w:ascii="Times New Roman" w:hAnsi="Times New Roman"/>
          <w:lang w:val="en-US"/>
        </w:rPr>
        <w:t xml:space="preserve"> </w:t>
      </w:r>
    </w:p>
    <w:p w14:paraId="19FD5736" w14:textId="5085E0F2" w:rsidR="00F270EF" w:rsidRPr="00F270EF" w:rsidRDefault="00F270EF" w:rsidP="0082672B">
      <w:pPr>
        <w:pStyle w:val="ListParagraph"/>
        <w:numPr>
          <w:ilvl w:val="1"/>
          <w:numId w:val="7"/>
        </w:numPr>
        <w:spacing w:line="276" w:lineRule="auto"/>
        <w:jc w:val="both"/>
        <w:rPr>
          <w:rFonts w:ascii="Times New Roman" w:hAnsi="Times New Roman"/>
          <w:lang w:val="en-US"/>
        </w:rPr>
      </w:pPr>
      <w:r w:rsidRPr="00A5756C">
        <w:rPr>
          <w:rFonts w:ascii="Times New Roman" w:hAnsi="Times New Roman"/>
          <w:lang w:val="en-US"/>
        </w:rPr>
        <w:t>Inquiry about the procedures for recording accounting transactions</w:t>
      </w:r>
      <w:r w:rsidR="002B6D1D" w:rsidRPr="00A5756C">
        <w:rPr>
          <w:rFonts w:ascii="Times New Roman" w:hAnsi="Times New Roman"/>
          <w:lang w:val="en-US"/>
        </w:rPr>
        <w:t xml:space="preserve"> with focus on the situations where the professional judgment is required</w:t>
      </w:r>
      <w:r w:rsidRPr="00A5756C">
        <w:rPr>
          <w:rFonts w:ascii="Times New Roman" w:hAnsi="Times New Roman"/>
          <w:lang w:val="en-US"/>
        </w:rPr>
        <w:t xml:space="preserve">; </w:t>
      </w:r>
    </w:p>
    <w:p w14:paraId="2E39B841" w14:textId="27076605" w:rsidR="00F270EF" w:rsidRPr="00F270EF" w:rsidRDefault="00F270EF" w:rsidP="0082672B">
      <w:pPr>
        <w:pStyle w:val="ListParagraph"/>
        <w:numPr>
          <w:ilvl w:val="1"/>
          <w:numId w:val="7"/>
        </w:numPr>
        <w:spacing w:line="276" w:lineRule="auto"/>
        <w:jc w:val="both"/>
        <w:rPr>
          <w:rFonts w:ascii="Times New Roman" w:hAnsi="Times New Roman"/>
          <w:lang w:val="en-US"/>
        </w:rPr>
      </w:pPr>
      <w:r w:rsidRPr="00A5756C">
        <w:rPr>
          <w:rFonts w:ascii="Times New Roman" w:hAnsi="Times New Roman"/>
          <w:lang w:val="en-US"/>
        </w:rPr>
        <w:t>Investigation of the unusual or complex situations that may impact reported results;</w:t>
      </w:r>
    </w:p>
    <w:p w14:paraId="6AABD4AE" w14:textId="7FD178EB" w:rsidR="00F270EF" w:rsidRPr="00F270EF" w:rsidRDefault="00F270EF" w:rsidP="0082672B">
      <w:pPr>
        <w:pStyle w:val="ListParagraph"/>
        <w:numPr>
          <w:ilvl w:val="1"/>
          <w:numId w:val="7"/>
        </w:numPr>
        <w:spacing w:line="276" w:lineRule="auto"/>
        <w:jc w:val="both"/>
        <w:rPr>
          <w:rFonts w:ascii="Times New Roman" w:hAnsi="Times New Roman"/>
          <w:lang w:val="en-US"/>
        </w:rPr>
      </w:pPr>
      <w:r w:rsidRPr="00A5756C">
        <w:rPr>
          <w:rFonts w:ascii="Times New Roman" w:hAnsi="Times New Roman"/>
          <w:lang w:val="en-US"/>
        </w:rPr>
        <w:t>Investigation of the significant transactions occurring near the end of the accounting period;</w:t>
      </w:r>
    </w:p>
    <w:p w14:paraId="5D0B04FB" w14:textId="64A2E63F" w:rsidR="00F270EF" w:rsidRPr="00F270EF" w:rsidRDefault="00F270EF" w:rsidP="0082672B">
      <w:pPr>
        <w:pStyle w:val="ListParagraph"/>
        <w:numPr>
          <w:ilvl w:val="1"/>
          <w:numId w:val="7"/>
        </w:numPr>
        <w:spacing w:line="276" w:lineRule="auto"/>
        <w:jc w:val="both"/>
        <w:rPr>
          <w:rFonts w:ascii="Times New Roman" w:hAnsi="Times New Roman"/>
          <w:lang w:val="en-US"/>
        </w:rPr>
      </w:pPr>
      <w:r w:rsidRPr="00A5756C">
        <w:rPr>
          <w:rFonts w:ascii="Times New Roman" w:hAnsi="Times New Roman"/>
          <w:lang w:val="en-US"/>
        </w:rPr>
        <w:t>Follow up on questions that arose during previous reviews;</w:t>
      </w:r>
    </w:p>
    <w:p w14:paraId="0ACAEEFF" w14:textId="5867D9A0" w:rsidR="00F270EF" w:rsidRPr="00F270EF" w:rsidRDefault="00F270EF" w:rsidP="0082672B">
      <w:pPr>
        <w:pStyle w:val="ListParagraph"/>
        <w:numPr>
          <w:ilvl w:val="1"/>
          <w:numId w:val="7"/>
        </w:numPr>
        <w:spacing w:line="276" w:lineRule="auto"/>
        <w:jc w:val="both"/>
        <w:rPr>
          <w:rFonts w:ascii="Times New Roman" w:hAnsi="Times New Roman"/>
          <w:lang w:val="en-US"/>
        </w:rPr>
      </w:pPr>
      <w:r w:rsidRPr="00A5756C">
        <w:rPr>
          <w:rFonts w:ascii="Times New Roman" w:hAnsi="Times New Roman"/>
          <w:lang w:val="en-US"/>
        </w:rPr>
        <w:t>Inquiry about material events that occurred after the date of the financial statements;</w:t>
      </w:r>
    </w:p>
    <w:p w14:paraId="263F7000" w14:textId="754D2D33" w:rsidR="00F270EF" w:rsidRPr="00F270EF" w:rsidRDefault="00F270EF" w:rsidP="0082672B">
      <w:pPr>
        <w:pStyle w:val="ListParagraph"/>
        <w:numPr>
          <w:ilvl w:val="1"/>
          <w:numId w:val="7"/>
        </w:numPr>
        <w:spacing w:line="276" w:lineRule="auto"/>
        <w:jc w:val="both"/>
        <w:rPr>
          <w:rFonts w:ascii="Times New Roman" w:hAnsi="Times New Roman"/>
          <w:lang w:val="en-US"/>
        </w:rPr>
      </w:pPr>
      <w:r w:rsidRPr="00A5756C">
        <w:rPr>
          <w:rFonts w:ascii="Times New Roman" w:hAnsi="Times New Roman"/>
          <w:lang w:val="en-US"/>
        </w:rPr>
        <w:lastRenderedPageBreak/>
        <w:t xml:space="preserve">Investigation of the significant </w:t>
      </w:r>
      <w:hyperlink r:id="rId8" w:history="1">
        <w:r w:rsidRPr="00A5756C">
          <w:rPr>
            <w:rFonts w:ascii="Times New Roman" w:hAnsi="Times New Roman"/>
            <w:lang w:val="en-US"/>
          </w:rPr>
          <w:t>journal entries</w:t>
        </w:r>
      </w:hyperlink>
    </w:p>
    <w:p w14:paraId="407F1D77" w14:textId="39C54CAC" w:rsidR="00F270EF" w:rsidRPr="005419F9" w:rsidRDefault="00F270EF" w:rsidP="0082672B">
      <w:pPr>
        <w:pStyle w:val="ListParagraph"/>
        <w:numPr>
          <w:ilvl w:val="1"/>
          <w:numId w:val="7"/>
        </w:numPr>
        <w:spacing w:line="276" w:lineRule="auto"/>
        <w:jc w:val="both"/>
        <w:rPr>
          <w:rFonts w:ascii="Times New Roman" w:hAnsi="Times New Roman"/>
          <w:lang w:val="en-US"/>
        </w:rPr>
      </w:pPr>
      <w:r w:rsidRPr="00A5756C">
        <w:rPr>
          <w:rFonts w:ascii="Times New Roman" w:hAnsi="Times New Roman"/>
          <w:lang w:val="en-US"/>
        </w:rPr>
        <w:t>Read the financial statements to see if they appear to conform with the applicable financial reporting framework;</w:t>
      </w:r>
    </w:p>
    <w:p w14:paraId="39EBA64B" w14:textId="77777777" w:rsidR="005419F9" w:rsidRPr="00F270EF" w:rsidRDefault="005419F9" w:rsidP="0082672B">
      <w:pPr>
        <w:pStyle w:val="ListParagraph"/>
        <w:spacing w:line="276" w:lineRule="auto"/>
        <w:ind w:left="2430"/>
        <w:jc w:val="both"/>
        <w:rPr>
          <w:rFonts w:ascii="Times New Roman" w:hAnsi="Times New Roman"/>
          <w:lang w:val="en-US"/>
        </w:rPr>
      </w:pPr>
    </w:p>
    <w:p w14:paraId="57FE3764" w14:textId="4E9FCEB2" w:rsidR="0085185F" w:rsidRPr="00A5756C" w:rsidRDefault="00AB25B9" w:rsidP="0082672B">
      <w:pPr>
        <w:ind w:left="2070"/>
        <w:jc w:val="both"/>
        <w:rPr>
          <w:rFonts w:ascii="Times New Roman" w:hAnsi="Times New Roman"/>
          <w:sz w:val="24"/>
          <w:szCs w:val="24"/>
          <w:lang w:eastAsia="x-none"/>
        </w:rPr>
      </w:pPr>
      <w:r w:rsidRPr="00A5756C">
        <w:rPr>
          <w:rFonts w:ascii="Times New Roman" w:hAnsi="Times New Roman"/>
          <w:sz w:val="24"/>
          <w:szCs w:val="24"/>
          <w:lang w:eastAsia="x-none"/>
        </w:rPr>
        <w:t xml:space="preserve">Provide guideline for the review steps that can be undertaken for specific areas as the calculation of the </w:t>
      </w:r>
      <w:hyperlink r:id="rId9" w:history="1">
        <w:r w:rsidRPr="00A5756C">
          <w:rPr>
            <w:rFonts w:ascii="Times New Roman" w:hAnsi="Times New Roman"/>
            <w:sz w:val="24"/>
            <w:szCs w:val="24"/>
            <w:lang w:eastAsia="x-none"/>
          </w:rPr>
          <w:t>allowance for doubtful accounts</w:t>
        </w:r>
      </w:hyperlink>
      <w:r w:rsidRPr="00A5756C">
        <w:rPr>
          <w:rFonts w:ascii="Times New Roman" w:hAnsi="Times New Roman"/>
          <w:sz w:val="24"/>
          <w:szCs w:val="24"/>
          <w:lang w:eastAsia="x-none"/>
        </w:rPr>
        <w:t xml:space="preserve">, </w:t>
      </w:r>
      <w:r w:rsidR="00BD76F8" w:rsidRPr="00A5756C">
        <w:rPr>
          <w:rFonts w:ascii="Times New Roman" w:hAnsi="Times New Roman"/>
          <w:sz w:val="24"/>
          <w:szCs w:val="24"/>
          <w:lang w:eastAsia="x-none"/>
        </w:rPr>
        <w:t xml:space="preserve">the determination of the </w:t>
      </w:r>
      <w:r w:rsidRPr="00A5756C">
        <w:rPr>
          <w:rFonts w:ascii="Times New Roman" w:hAnsi="Times New Roman"/>
          <w:sz w:val="24"/>
          <w:szCs w:val="24"/>
          <w:lang w:eastAsia="x-none"/>
        </w:rPr>
        <w:t>cost of inventory,</w:t>
      </w:r>
      <w:r w:rsidR="00BD76F8" w:rsidRPr="00A5756C">
        <w:rPr>
          <w:rFonts w:ascii="Times New Roman" w:hAnsi="Times New Roman"/>
          <w:sz w:val="24"/>
          <w:szCs w:val="24"/>
          <w:lang w:eastAsia="x-none"/>
        </w:rPr>
        <w:t xml:space="preserve"> the</w:t>
      </w:r>
      <w:r w:rsidRPr="00A5756C">
        <w:rPr>
          <w:rFonts w:ascii="Times New Roman" w:hAnsi="Times New Roman"/>
          <w:sz w:val="24"/>
          <w:szCs w:val="24"/>
          <w:lang w:eastAsia="x-none"/>
        </w:rPr>
        <w:t xml:space="preserve"> determination of the fair values, the criteria for expenditure capitalization,</w:t>
      </w:r>
      <w:r w:rsidR="004A639D" w:rsidRPr="00A5756C">
        <w:rPr>
          <w:rFonts w:ascii="Times New Roman" w:hAnsi="Times New Roman"/>
          <w:sz w:val="24"/>
          <w:szCs w:val="24"/>
          <w:lang w:eastAsia="x-none"/>
        </w:rPr>
        <w:t xml:space="preserve"> the recognition of intangible asset and calculation of amortization and impairment, </w:t>
      </w:r>
      <w:r w:rsidR="00BD76F8" w:rsidRPr="00A5756C">
        <w:rPr>
          <w:rFonts w:ascii="Times New Roman" w:hAnsi="Times New Roman"/>
          <w:sz w:val="24"/>
          <w:szCs w:val="24"/>
          <w:lang w:eastAsia="x-none"/>
        </w:rPr>
        <w:t xml:space="preserve">the </w:t>
      </w:r>
      <w:r w:rsidR="004A639D" w:rsidRPr="00A5756C">
        <w:rPr>
          <w:rFonts w:ascii="Times New Roman" w:hAnsi="Times New Roman"/>
          <w:sz w:val="24"/>
          <w:szCs w:val="24"/>
          <w:lang w:eastAsia="x-none"/>
        </w:rPr>
        <w:t xml:space="preserve">debt disclosures and classification, the contingencies, </w:t>
      </w:r>
      <w:r w:rsidR="00BD76F8" w:rsidRPr="00A5756C">
        <w:rPr>
          <w:rFonts w:ascii="Times New Roman" w:hAnsi="Times New Roman"/>
          <w:sz w:val="24"/>
          <w:szCs w:val="24"/>
          <w:lang w:eastAsia="x-none"/>
        </w:rPr>
        <w:t xml:space="preserve">the </w:t>
      </w:r>
      <w:r w:rsidR="004A639D" w:rsidRPr="00A5756C">
        <w:rPr>
          <w:rFonts w:ascii="Times New Roman" w:hAnsi="Times New Roman"/>
          <w:sz w:val="24"/>
          <w:szCs w:val="24"/>
          <w:lang w:eastAsia="x-none"/>
        </w:rPr>
        <w:t xml:space="preserve">revenue and expenses recognition, </w:t>
      </w:r>
      <w:r w:rsidR="00BD76F8" w:rsidRPr="00A5756C">
        <w:rPr>
          <w:rFonts w:ascii="Times New Roman" w:hAnsi="Times New Roman"/>
          <w:sz w:val="24"/>
          <w:szCs w:val="24"/>
          <w:lang w:eastAsia="x-none"/>
        </w:rPr>
        <w:t xml:space="preserve">the </w:t>
      </w:r>
      <w:r w:rsidR="004A639D" w:rsidRPr="00A5756C">
        <w:rPr>
          <w:rFonts w:ascii="Times New Roman" w:hAnsi="Times New Roman"/>
          <w:sz w:val="24"/>
          <w:szCs w:val="24"/>
          <w:lang w:eastAsia="x-none"/>
        </w:rPr>
        <w:t>disclosure of the revenues</w:t>
      </w:r>
      <w:r w:rsidR="005419F9" w:rsidRPr="00A5756C">
        <w:rPr>
          <w:rFonts w:ascii="Times New Roman" w:hAnsi="Times New Roman"/>
          <w:sz w:val="24"/>
          <w:szCs w:val="24"/>
          <w:lang w:eastAsia="x-none"/>
        </w:rPr>
        <w:t xml:space="preserve"> from discontinued operation</w:t>
      </w:r>
      <w:r w:rsidR="004A639D" w:rsidRPr="00A5756C">
        <w:rPr>
          <w:rFonts w:ascii="Times New Roman" w:hAnsi="Times New Roman"/>
          <w:sz w:val="24"/>
          <w:szCs w:val="24"/>
          <w:lang w:eastAsia="x-none"/>
        </w:rPr>
        <w:t>, etc</w:t>
      </w:r>
      <w:r w:rsidR="005419F9" w:rsidRPr="00A5756C">
        <w:rPr>
          <w:rFonts w:ascii="Times New Roman" w:hAnsi="Times New Roman"/>
          <w:sz w:val="24"/>
          <w:szCs w:val="24"/>
          <w:lang w:eastAsia="x-none"/>
        </w:rPr>
        <w:t>.</w:t>
      </w:r>
    </w:p>
    <w:p w14:paraId="59DCFB26" w14:textId="28A65D4A" w:rsidR="00AB25B9" w:rsidRPr="003D2259" w:rsidRDefault="00C10447" w:rsidP="007A68D3">
      <w:pPr>
        <w:pStyle w:val="ListParagraph"/>
        <w:numPr>
          <w:ilvl w:val="0"/>
          <w:numId w:val="7"/>
        </w:numPr>
        <w:spacing w:line="276" w:lineRule="auto"/>
        <w:jc w:val="both"/>
        <w:rPr>
          <w:rFonts w:ascii="Times New Roman" w:hAnsi="Times New Roman"/>
          <w:lang w:val="en-US"/>
        </w:rPr>
      </w:pPr>
      <w:r w:rsidRPr="003D2259">
        <w:rPr>
          <w:rFonts w:ascii="Times New Roman" w:hAnsi="Times New Roman"/>
          <w:lang w:val="en-US"/>
        </w:rPr>
        <w:t xml:space="preserve">Prepare an action plan for implementation of the </w:t>
      </w:r>
      <w:r w:rsidR="00454CAE" w:rsidRPr="003D2259">
        <w:rPr>
          <w:rFonts w:ascii="Times New Roman" w:hAnsi="Times New Roman"/>
          <w:lang w:val="en-US"/>
        </w:rPr>
        <w:t>methodolog</w:t>
      </w:r>
      <w:r w:rsidR="00454CAE">
        <w:rPr>
          <w:rFonts w:ascii="Times New Roman" w:hAnsi="Times New Roman"/>
          <w:lang w:val="en-US"/>
        </w:rPr>
        <w:t>y</w:t>
      </w:r>
      <w:r w:rsidR="00454CAE" w:rsidRPr="003D2259">
        <w:rPr>
          <w:rFonts w:ascii="Times New Roman" w:hAnsi="Times New Roman"/>
          <w:lang w:val="en-US"/>
        </w:rPr>
        <w:t xml:space="preserve"> </w:t>
      </w:r>
      <w:r w:rsidRPr="003D2259">
        <w:rPr>
          <w:rFonts w:ascii="Times New Roman" w:hAnsi="Times New Roman"/>
          <w:lang w:val="en-US"/>
        </w:rPr>
        <w:t xml:space="preserve">for quality review of the financial statements and propose different alternatives to carry out this task. With this regard, the </w:t>
      </w:r>
      <w:r w:rsidR="00454CAE">
        <w:rPr>
          <w:rFonts w:ascii="Times New Roman" w:hAnsi="Times New Roman"/>
          <w:lang w:val="en-US"/>
        </w:rPr>
        <w:t>C</w:t>
      </w:r>
      <w:r w:rsidRPr="003D2259">
        <w:rPr>
          <w:rFonts w:ascii="Times New Roman" w:hAnsi="Times New Roman"/>
          <w:lang w:val="en-US"/>
        </w:rPr>
        <w:t>onsultant will assess the feasibility of the implementation of online review of the financial statements, will identifies the procedures that can be carried out offsite and establish the operational processes to complete the task.</w:t>
      </w:r>
    </w:p>
    <w:p w14:paraId="175BDC55" w14:textId="77777777" w:rsidR="00B35123" w:rsidRDefault="00B35123" w:rsidP="0082672B">
      <w:pPr>
        <w:pStyle w:val="ListParagraph"/>
        <w:spacing w:line="276" w:lineRule="auto"/>
        <w:ind w:left="990"/>
        <w:jc w:val="both"/>
        <w:rPr>
          <w:rFonts w:ascii="Times New Roman" w:hAnsi="Times New Roman"/>
          <w:lang w:val="en-US"/>
        </w:rPr>
      </w:pPr>
    </w:p>
    <w:p w14:paraId="722B2241" w14:textId="20BFE003" w:rsidR="00C10447" w:rsidRDefault="00C10447" w:rsidP="0082672B">
      <w:pPr>
        <w:pStyle w:val="ListParagraph"/>
        <w:numPr>
          <w:ilvl w:val="2"/>
          <w:numId w:val="5"/>
        </w:numPr>
        <w:spacing w:line="276" w:lineRule="auto"/>
        <w:ind w:left="990" w:hanging="540"/>
        <w:jc w:val="both"/>
        <w:rPr>
          <w:rFonts w:ascii="Times New Roman" w:hAnsi="Times New Roman"/>
          <w:lang w:val="en-US"/>
        </w:rPr>
      </w:pPr>
      <w:r>
        <w:rPr>
          <w:rFonts w:ascii="Times New Roman" w:hAnsi="Times New Roman"/>
          <w:lang w:val="en-US"/>
        </w:rPr>
        <w:t xml:space="preserve">The </w:t>
      </w:r>
      <w:r w:rsidR="00454CAE">
        <w:rPr>
          <w:rFonts w:ascii="Times New Roman" w:hAnsi="Times New Roman"/>
          <w:lang w:val="en-US"/>
        </w:rPr>
        <w:t>C</w:t>
      </w:r>
      <w:r>
        <w:rPr>
          <w:rFonts w:ascii="Times New Roman" w:hAnsi="Times New Roman"/>
          <w:lang w:val="en-US"/>
        </w:rPr>
        <w:t xml:space="preserve">onsultant will review the structure of National Accounting Council and its business processes to </w:t>
      </w:r>
      <w:r w:rsidR="009B3077">
        <w:rPr>
          <w:rFonts w:ascii="Times New Roman" w:hAnsi="Times New Roman"/>
          <w:lang w:val="en-US"/>
        </w:rPr>
        <w:t xml:space="preserve">understand whether the organization can fulfill the research </w:t>
      </w:r>
      <w:r w:rsidR="00C07189">
        <w:rPr>
          <w:rFonts w:ascii="Times New Roman" w:hAnsi="Times New Roman"/>
          <w:lang w:val="en-US"/>
        </w:rPr>
        <w:t xml:space="preserve">on the accounting framework </w:t>
      </w:r>
      <w:r w:rsidR="009B3077">
        <w:rPr>
          <w:rFonts w:ascii="Times New Roman" w:hAnsi="Times New Roman"/>
          <w:lang w:val="en-US"/>
        </w:rPr>
        <w:t xml:space="preserve">and review of financial statement within the existing structures and capacities. The </w:t>
      </w:r>
      <w:r w:rsidR="00454CAE">
        <w:rPr>
          <w:rFonts w:ascii="Times New Roman" w:hAnsi="Times New Roman"/>
          <w:lang w:val="en-US"/>
        </w:rPr>
        <w:t>C</w:t>
      </w:r>
      <w:r w:rsidR="009B3077">
        <w:rPr>
          <w:rFonts w:ascii="Times New Roman" w:hAnsi="Times New Roman"/>
          <w:lang w:val="en-US"/>
        </w:rPr>
        <w:t>onsultant will propose the modification of the structure based on the new functions of research and review of financial statement and allocation of necessary resources.</w:t>
      </w:r>
      <w:r w:rsidR="00334142">
        <w:rPr>
          <w:rFonts w:ascii="Times New Roman" w:hAnsi="Times New Roman"/>
          <w:lang w:val="en-US"/>
        </w:rPr>
        <w:t xml:space="preserve"> This should allow </w:t>
      </w:r>
      <w:r w:rsidR="00334142" w:rsidRPr="00334142">
        <w:rPr>
          <w:rFonts w:ascii="Times New Roman" w:hAnsi="Times New Roman"/>
          <w:lang w:val="en-US"/>
        </w:rPr>
        <w:t>creation of a communication model between NAC and education organizations, which enables quick updates of accounting curricula to respond to market needs and triggers training programs for accountants</w:t>
      </w:r>
      <w:r w:rsidR="00334142">
        <w:rPr>
          <w:rFonts w:ascii="Times New Roman" w:hAnsi="Times New Roman"/>
          <w:lang w:val="en-US"/>
        </w:rPr>
        <w:t>.</w:t>
      </w:r>
    </w:p>
    <w:p w14:paraId="4AAF602A" w14:textId="62211402" w:rsidR="009B3077" w:rsidRDefault="009B3077" w:rsidP="0082672B">
      <w:pPr>
        <w:pStyle w:val="ListParagraph"/>
        <w:numPr>
          <w:ilvl w:val="2"/>
          <w:numId w:val="5"/>
        </w:numPr>
        <w:spacing w:line="276" w:lineRule="auto"/>
        <w:ind w:left="990" w:hanging="540"/>
        <w:jc w:val="both"/>
        <w:rPr>
          <w:rFonts w:ascii="Times New Roman" w:hAnsi="Times New Roman"/>
          <w:lang w:val="en-US"/>
        </w:rPr>
      </w:pPr>
      <w:r>
        <w:rPr>
          <w:rFonts w:ascii="Times New Roman" w:hAnsi="Times New Roman"/>
          <w:lang w:val="en-US"/>
        </w:rPr>
        <w:t xml:space="preserve">To increase the capacities of the </w:t>
      </w:r>
      <w:r w:rsidR="00454CAE">
        <w:rPr>
          <w:rFonts w:ascii="Times New Roman" w:hAnsi="Times New Roman"/>
          <w:lang w:val="en-US"/>
        </w:rPr>
        <w:t xml:space="preserve">NAC </w:t>
      </w:r>
      <w:r>
        <w:rPr>
          <w:rFonts w:ascii="Times New Roman" w:hAnsi="Times New Roman"/>
          <w:lang w:val="en-US"/>
        </w:rPr>
        <w:t xml:space="preserve">for carrying out the new functions, the </w:t>
      </w:r>
      <w:r w:rsidR="00454CAE">
        <w:rPr>
          <w:rFonts w:ascii="Times New Roman" w:hAnsi="Times New Roman"/>
          <w:lang w:val="en-US"/>
        </w:rPr>
        <w:t>C</w:t>
      </w:r>
      <w:r>
        <w:rPr>
          <w:rFonts w:ascii="Times New Roman" w:hAnsi="Times New Roman"/>
          <w:lang w:val="en-US"/>
        </w:rPr>
        <w:t xml:space="preserve">onsultant will organize training </w:t>
      </w:r>
      <w:r w:rsidR="00BA544A">
        <w:rPr>
          <w:rFonts w:ascii="Times New Roman" w:hAnsi="Times New Roman"/>
          <w:lang w:val="en-US"/>
        </w:rPr>
        <w:t>on the methodologies of research and financial review for financial statements for</w:t>
      </w:r>
      <w:r>
        <w:rPr>
          <w:rFonts w:ascii="Times New Roman" w:hAnsi="Times New Roman"/>
          <w:lang w:val="en-US"/>
        </w:rPr>
        <w:t xml:space="preserve"> the </w:t>
      </w:r>
      <w:r w:rsidR="00BA544A">
        <w:rPr>
          <w:rFonts w:ascii="Times New Roman" w:hAnsi="Times New Roman"/>
          <w:lang w:val="en-US"/>
        </w:rPr>
        <w:t xml:space="preserve">staff </w:t>
      </w:r>
      <w:r>
        <w:rPr>
          <w:rFonts w:ascii="Times New Roman" w:hAnsi="Times New Roman"/>
          <w:lang w:val="en-US"/>
        </w:rPr>
        <w:t>designated for research and review of the financia</w:t>
      </w:r>
      <w:r w:rsidR="00BA544A">
        <w:rPr>
          <w:rFonts w:ascii="Times New Roman" w:hAnsi="Times New Roman"/>
          <w:lang w:val="en-US"/>
        </w:rPr>
        <w:t>l statements.</w:t>
      </w:r>
      <w:r w:rsidR="00C07189">
        <w:rPr>
          <w:rFonts w:ascii="Times New Roman" w:hAnsi="Times New Roman"/>
          <w:lang w:val="en-US"/>
        </w:rPr>
        <w:t xml:space="preserve"> Workshops will be organized during the preparation of methodologies and also when the final output will be submitted.</w:t>
      </w:r>
    </w:p>
    <w:p w14:paraId="0BBC89B5" w14:textId="77777777" w:rsidR="00C07189" w:rsidRPr="00C07189" w:rsidRDefault="00C07189" w:rsidP="0082672B">
      <w:pPr>
        <w:pStyle w:val="ListParagraph"/>
        <w:spacing w:line="276" w:lineRule="auto"/>
        <w:rPr>
          <w:rFonts w:ascii="Times New Roman" w:hAnsi="Times New Roman"/>
          <w:lang w:val="en-US"/>
        </w:rPr>
      </w:pPr>
    </w:p>
    <w:p w14:paraId="74B8F258" w14:textId="2A098671" w:rsidR="00BA544A" w:rsidRDefault="00C07189" w:rsidP="007C7B08">
      <w:pPr>
        <w:pStyle w:val="ListParagraph"/>
        <w:numPr>
          <w:ilvl w:val="2"/>
          <w:numId w:val="5"/>
        </w:numPr>
        <w:spacing w:line="276" w:lineRule="auto"/>
        <w:ind w:left="990" w:hanging="540"/>
        <w:jc w:val="both"/>
        <w:rPr>
          <w:rFonts w:ascii="Times New Roman" w:hAnsi="Times New Roman"/>
          <w:lang w:val="en-US"/>
        </w:rPr>
      </w:pPr>
      <w:r>
        <w:rPr>
          <w:rFonts w:ascii="Times New Roman" w:hAnsi="Times New Roman"/>
          <w:lang w:val="en-US"/>
        </w:rPr>
        <w:t xml:space="preserve">The </w:t>
      </w:r>
      <w:r w:rsidR="00454CAE">
        <w:rPr>
          <w:rFonts w:ascii="Times New Roman" w:hAnsi="Times New Roman"/>
          <w:lang w:val="en-US"/>
        </w:rPr>
        <w:t>C</w:t>
      </w:r>
      <w:r>
        <w:rPr>
          <w:rFonts w:ascii="Times New Roman" w:hAnsi="Times New Roman"/>
          <w:lang w:val="en-US"/>
        </w:rPr>
        <w:t xml:space="preserve">onsultant in collaboration with NAC will start implementation of the methodology for the research on the accounting framework and for the review of the financial statements after the methodology will be completed and the staff </w:t>
      </w:r>
      <w:r w:rsidR="00F640BB">
        <w:rPr>
          <w:rFonts w:ascii="Times New Roman" w:hAnsi="Times New Roman"/>
          <w:lang w:val="en-US"/>
        </w:rPr>
        <w:t>of NAC</w:t>
      </w:r>
      <w:r>
        <w:rPr>
          <w:rFonts w:ascii="Times New Roman" w:hAnsi="Times New Roman"/>
          <w:lang w:val="en-US"/>
        </w:rPr>
        <w:t xml:space="preserve"> will be trained as in the point 3.1.4. Before starting the </w:t>
      </w:r>
      <w:r w:rsidR="00F640BB">
        <w:rPr>
          <w:rFonts w:ascii="Times New Roman" w:hAnsi="Times New Roman"/>
          <w:lang w:val="en-US"/>
        </w:rPr>
        <w:t>research</w:t>
      </w:r>
      <w:r>
        <w:rPr>
          <w:rFonts w:ascii="Times New Roman" w:hAnsi="Times New Roman"/>
          <w:lang w:val="en-US"/>
        </w:rPr>
        <w:t xml:space="preserve">, the consultant will agree with NAC about research objectives and about the specific topics, particular accounting standards </w:t>
      </w:r>
      <w:r w:rsidR="00F640BB">
        <w:rPr>
          <w:rFonts w:ascii="Times New Roman" w:hAnsi="Times New Roman"/>
          <w:lang w:val="en-US"/>
        </w:rPr>
        <w:t xml:space="preserve">or specific transactions. Based on the agreed decision, the consultant will prepare the questionnaires and will draw a sample for data collection. The consultant will support NAC to carry out all the research cycle processes. </w:t>
      </w:r>
    </w:p>
    <w:p w14:paraId="70F1DA45" w14:textId="77777777" w:rsidR="007C7B08" w:rsidRPr="007C7B08" w:rsidRDefault="007C7B08" w:rsidP="007C7B08">
      <w:pPr>
        <w:pStyle w:val="ListParagraph"/>
        <w:rPr>
          <w:rFonts w:ascii="Times New Roman" w:hAnsi="Times New Roman"/>
          <w:lang w:val="en-US"/>
        </w:rPr>
      </w:pPr>
    </w:p>
    <w:p w14:paraId="0AAD2430" w14:textId="4B0368C0" w:rsidR="00BA544A" w:rsidRDefault="00F640BB" w:rsidP="0082672B">
      <w:pPr>
        <w:pStyle w:val="ListParagraph"/>
        <w:numPr>
          <w:ilvl w:val="2"/>
          <w:numId w:val="5"/>
        </w:numPr>
        <w:spacing w:line="276" w:lineRule="auto"/>
        <w:ind w:left="990" w:hanging="540"/>
        <w:jc w:val="both"/>
        <w:rPr>
          <w:rFonts w:ascii="Times New Roman" w:hAnsi="Times New Roman"/>
          <w:lang w:val="en-US"/>
        </w:rPr>
      </w:pPr>
      <w:r>
        <w:rPr>
          <w:rFonts w:ascii="Times New Roman" w:hAnsi="Times New Roman"/>
          <w:lang w:val="en-US"/>
        </w:rPr>
        <w:t xml:space="preserve">The consultant in collaboration with NAC will organize and lead the review of the financial statements for </w:t>
      </w:r>
      <w:r w:rsidR="00DC4E73">
        <w:rPr>
          <w:rFonts w:ascii="Times New Roman" w:hAnsi="Times New Roman"/>
          <w:lang w:val="en-US"/>
        </w:rPr>
        <w:t xml:space="preserve">at least </w:t>
      </w:r>
      <w:r>
        <w:rPr>
          <w:rFonts w:ascii="Times New Roman" w:hAnsi="Times New Roman"/>
          <w:lang w:val="en-US"/>
        </w:rPr>
        <w:t xml:space="preserve">seven sets of financial statements. </w:t>
      </w:r>
      <w:r w:rsidR="008D6975">
        <w:rPr>
          <w:rFonts w:ascii="Times New Roman" w:hAnsi="Times New Roman"/>
          <w:lang w:val="en-US"/>
        </w:rPr>
        <w:t xml:space="preserve">The consultant will be responsible for planning of the review and identifying the appropriate procedures to be applied in each case. Further on, the consultant will work closely with NAC to analyze findings and to prepare the review report for each case. </w:t>
      </w:r>
    </w:p>
    <w:p w14:paraId="60F3E19F" w14:textId="77777777" w:rsidR="00BA544A" w:rsidRPr="00BA544A" w:rsidRDefault="00BA544A" w:rsidP="0082672B">
      <w:pPr>
        <w:jc w:val="both"/>
        <w:rPr>
          <w:rFonts w:ascii="Times New Roman" w:hAnsi="Times New Roman"/>
        </w:rPr>
      </w:pPr>
    </w:p>
    <w:p w14:paraId="631E60B2" w14:textId="6067250C" w:rsidR="000E7860" w:rsidRDefault="00E213EC" w:rsidP="0082672B">
      <w:pPr>
        <w:pStyle w:val="ListParagraph"/>
        <w:numPr>
          <w:ilvl w:val="2"/>
          <w:numId w:val="5"/>
        </w:numPr>
        <w:spacing w:line="276" w:lineRule="auto"/>
        <w:ind w:left="990" w:hanging="540"/>
        <w:jc w:val="both"/>
        <w:rPr>
          <w:rFonts w:ascii="Times New Roman" w:hAnsi="Times New Roman"/>
          <w:lang w:val="en-US"/>
        </w:rPr>
      </w:pPr>
      <w:r w:rsidRPr="003F6A45">
        <w:rPr>
          <w:rFonts w:ascii="Times New Roman" w:hAnsi="Times New Roman"/>
          <w:lang w:val="en-US"/>
        </w:rPr>
        <w:t>Consultant will facilitate</w:t>
      </w:r>
      <w:r w:rsidR="009E3FDC" w:rsidRPr="003F6A45">
        <w:rPr>
          <w:rFonts w:ascii="Times New Roman" w:hAnsi="Times New Roman"/>
          <w:lang w:val="en-US"/>
        </w:rPr>
        <w:t xml:space="preserve"> the</w:t>
      </w:r>
      <w:r w:rsidRPr="003F6A45">
        <w:rPr>
          <w:rFonts w:ascii="Times New Roman" w:hAnsi="Times New Roman"/>
          <w:lang w:val="en-US"/>
        </w:rPr>
        <w:t xml:space="preserve"> organization of </w:t>
      </w:r>
      <w:r w:rsidR="009E3FDC" w:rsidRPr="003F6A45">
        <w:rPr>
          <w:rFonts w:ascii="Times New Roman" w:hAnsi="Times New Roman"/>
          <w:lang w:val="en-US"/>
        </w:rPr>
        <w:t xml:space="preserve">a </w:t>
      </w:r>
      <w:r w:rsidRPr="003F6A45">
        <w:rPr>
          <w:rFonts w:ascii="Times New Roman" w:hAnsi="Times New Roman"/>
          <w:lang w:val="en-US"/>
        </w:rPr>
        <w:t xml:space="preserve">study visit in </w:t>
      </w:r>
      <w:r w:rsidR="00491236">
        <w:rPr>
          <w:rFonts w:ascii="Times New Roman" w:hAnsi="Times New Roman"/>
          <w:lang w:val="en-US"/>
        </w:rPr>
        <w:t>a</w:t>
      </w:r>
      <w:r w:rsidR="008D6975">
        <w:rPr>
          <w:rFonts w:ascii="Times New Roman" w:hAnsi="Times New Roman"/>
          <w:lang w:val="en-US"/>
        </w:rPr>
        <w:t xml:space="preserve"> standard setter</w:t>
      </w:r>
      <w:r w:rsidRPr="003F6A45">
        <w:rPr>
          <w:rFonts w:ascii="Times New Roman" w:hAnsi="Times New Roman"/>
          <w:lang w:val="en-US"/>
        </w:rPr>
        <w:t xml:space="preserve"> for members </w:t>
      </w:r>
      <w:r w:rsidR="008D6975">
        <w:rPr>
          <w:rFonts w:ascii="Times New Roman" w:hAnsi="Times New Roman"/>
          <w:lang w:val="en-US"/>
        </w:rPr>
        <w:t xml:space="preserve">and staff </w:t>
      </w:r>
      <w:r w:rsidRPr="003F6A45">
        <w:rPr>
          <w:rFonts w:ascii="Times New Roman" w:hAnsi="Times New Roman"/>
          <w:lang w:val="en-US"/>
        </w:rPr>
        <w:t xml:space="preserve">of </w:t>
      </w:r>
      <w:r w:rsidR="008D6975">
        <w:rPr>
          <w:rFonts w:ascii="Times New Roman" w:hAnsi="Times New Roman"/>
          <w:lang w:val="en-US"/>
        </w:rPr>
        <w:t>NAC</w:t>
      </w:r>
      <w:r w:rsidR="00EB7D63">
        <w:rPr>
          <w:rFonts w:ascii="Times New Roman" w:hAnsi="Times New Roman"/>
          <w:lang w:val="en-US"/>
        </w:rPr>
        <w:t xml:space="preserve"> (</w:t>
      </w:r>
      <w:r w:rsidR="005B2064">
        <w:rPr>
          <w:rFonts w:ascii="Times New Roman" w:hAnsi="Times New Roman"/>
          <w:lang w:val="en-US"/>
        </w:rPr>
        <w:t xml:space="preserve">at least </w:t>
      </w:r>
      <w:r w:rsidR="00C76448">
        <w:rPr>
          <w:rFonts w:ascii="Times New Roman" w:hAnsi="Times New Roman"/>
          <w:lang w:val="en-US"/>
        </w:rPr>
        <w:t>7</w:t>
      </w:r>
      <w:r w:rsidR="005B2064">
        <w:rPr>
          <w:rFonts w:ascii="Times New Roman" w:hAnsi="Times New Roman"/>
          <w:lang w:val="en-US"/>
        </w:rPr>
        <w:t xml:space="preserve"> participants)</w:t>
      </w:r>
      <w:r w:rsidRPr="003F6A45">
        <w:rPr>
          <w:rFonts w:ascii="Times New Roman" w:hAnsi="Times New Roman"/>
          <w:lang w:val="en-US"/>
        </w:rPr>
        <w:t xml:space="preserve"> to take experience </w:t>
      </w:r>
      <w:r w:rsidR="00DF06E9">
        <w:rPr>
          <w:rFonts w:ascii="Times New Roman" w:hAnsi="Times New Roman"/>
          <w:lang w:val="en-US"/>
        </w:rPr>
        <w:t xml:space="preserve">about the methodologies used on </w:t>
      </w:r>
      <w:r w:rsidR="00491236">
        <w:rPr>
          <w:rFonts w:ascii="Times New Roman" w:hAnsi="Times New Roman"/>
          <w:lang w:val="en-US"/>
        </w:rPr>
        <w:t>the projects</w:t>
      </w:r>
      <w:r w:rsidR="00DF06E9">
        <w:rPr>
          <w:rFonts w:ascii="Times New Roman" w:hAnsi="Times New Roman"/>
          <w:lang w:val="en-US"/>
        </w:rPr>
        <w:t xml:space="preserve"> </w:t>
      </w:r>
      <w:r w:rsidR="00491236">
        <w:rPr>
          <w:rFonts w:ascii="Times New Roman" w:hAnsi="Times New Roman"/>
          <w:lang w:val="en-US"/>
        </w:rPr>
        <w:t>initiated for</w:t>
      </w:r>
      <w:r w:rsidR="008D6975">
        <w:rPr>
          <w:rFonts w:ascii="Times New Roman" w:hAnsi="Times New Roman"/>
          <w:lang w:val="en-US"/>
        </w:rPr>
        <w:t xml:space="preserve"> standard setting </w:t>
      </w:r>
      <w:r w:rsidR="00DF06E9">
        <w:rPr>
          <w:rFonts w:ascii="Times New Roman" w:hAnsi="Times New Roman"/>
          <w:lang w:val="en-US"/>
        </w:rPr>
        <w:t>purposes.</w:t>
      </w:r>
      <w:r w:rsidR="008D6975">
        <w:rPr>
          <w:rFonts w:ascii="Times New Roman" w:hAnsi="Times New Roman"/>
          <w:lang w:val="en-US"/>
        </w:rPr>
        <w:t xml:space="preserve"> </w:t>
      </w:r>
      <w:r w:rsidRPr="003F6A45">
        <w:rPr>
          <w:rFonts w:ascii="Times New Roman" w:hAnsi="Times New Roman"/>
          <w:lang w:val="en-US"/>
        </w:rPr>
        <w:t xml:space="preserve">The consultant will cover the cost of transportation (economy class only) and for subsistence and accommodation, at the level </w:t>
      </w:r>
      <w:r w:rsidR="000E7860">
        <w:rPr>
          <w:rFonts w:ascii="Times New Roman" w:hAnsi="Times New Roman"/>
          <w:lang w:val="en-US"/>
        </w:rPr>
        <w:t>of applicable EU per diem rates</w:t>
      </w:r>
      <w:r w:rsidR="00454CAE">
        <w:rPr>
          <w:rFonts w:ascii="Times New Roman" w:hAnsi="Times New Roman"/>
          <w:lang w:val="en-US"/>
        </w:rPr>
        <w:t>.</w:t>
      </w:r>
      <w:r w:rsidR="005B2064">
        <w:rPr>
          <w:rFonts w:ascii="Times New Roman" w:hAnsi="Times New Roman"/>
          <w:lang w:val="en-US"/>
        </w:rPr>
        <w:t xml:space="preserve"> Standard </w:t>
      </w:r>
      <w:r w:rsidR="004A2443">
        <w:rPr>
          <w:rFonts w:ascii="Times New Roman" w:hAnsi="Times New Roman"/>
          <w:lang w:val="en-US"/>
        </w:rPr>
        <w:t>setter</w:t>
      </w:r>
      <w:r w:rsidR="005B2064">
        <w:rPr>
          <w:rFonts w:ascii="Times New Roman" w:hAnsi="Times New Roman"/>
          <w:lang w:val="en-US"/>
        </w:rPr>
        <w:t xml:space="preserve"> to be </w:t>
      </w:r>
      <w:r w:rsidR="004A2443">
        <w:rPr>
          <w:rFonts w:ascii="Times New Roman" w:hAnsi="Times New Roman"/>
          <w:lang w:val="en-US"/>
        </w:rPr>
        <w:t>visited</w:t>
      </w:r>
      <w:r w:rsidR="005B2064">
        <w:rPr>
          <w:rFonts w:ascii="Times New Roman" w:hAnsi="Times New Roman"/>
          <w:lang w:val="en-US"/>
        </w:rPr>
        <w:t xml:space="preserve"> wi</w:t>
      </w:r>
      <w:r w:rsidR="004A2443">
        <w:rPr>
          <w:rFonts w:ascii="Times New Roman" w:hAnsi="Times New Roman"/>
          <w:lang w:val="en-US"/>
        </w:rPr>
        <w:t>l</w:t>
      </w:r>
      <w:r w:rsidR="005B2064">
        <w:rPr>
          <w:rFonts w:ascii="Times New Roman" w:hAnsi="Times New Roman"/>
          <w:lang w:val="en-US"/>
        </w:rPr>
        <w:t>l be i</w:t>
      </w:r>
      <w:r w:rsidR="004A2443">
        <w:rPr>
          <w:rFonts w:ascii="Times New Roman" w:hAnsi="Times New Roman"/>
          <w:lang w:val="en-US"/>
        </w:rPr>
        <w:t xml:space="preserve">dentified in consultation </w:t>
      </w:r>
      <w:r w:rsidR="002B00E8">
        <w:rPr>
          <w:rFonts w:ascii="Times New Roman" w:hAnsi="Times New Roman"/>
          <w:lang w:val="en-US"/>
        </w:rPr>
        <w:t>with NAC).</w:t>
      </w:r>
    </w:p>
    <w:p w14:paraId="1D1E52C4" w14:textId="49258641" w:rsidR="00E213EC" w:rsidRPr="000E7860" w:rsidRDefault="00E213EC" w:rsidP="0082672B">
      <w:pPr>
        <w:pStyle w:val="ListParagraph"/>
        <w:spacing w:line="276" w:lineRule="auto"/>
        <w:ind w:left="360"/>
        <w:jc w:val="both"/>
        <w:rPr>
          <w:rFonts w:ascii="Times New Roman" w:hAnsi="Times New Roman"/>
        </w:rPr>
      </w:pPr>
    </w:p>
    <w:p w14:paraId="200EB047" w14:textId="77777777" w:rsidR="000E7860" w:rsidRPr="000E7860" w:rsidRDefault="000E7860" w:rsidP="0082672B">
      <w:pPr>
        <w:pStyle w:val="ListParagraph"/>
        <w:spacing w:line="276" w:lineRule="auto"/>
        <w:rPr>
          <w:rFonts w:ascii="Times New Roman" w:hAnsi="Times New Roman"/>
          <w:lang w:val="en-US"/>
        </w:rPr>
      </w:pPr>
    </w:p>
    <w:p w14:paraId="20E8DA62" w14:textId="77777777" w:rsidR="000E7860" w:rsidRPr="000E7860" w:rsidRDefault="000E7860" w:rsidP="0082672B">
      <w:pPr>
        <w:pStyle w:val="ListParagraph"/>
        <w:spacing w:line="276" w:lineRule="auto"/>
        <w:ind w:left="360"/>
        <w:jc w:val="both"/>
        <w:rPr>
          <w:rFonts w:ascii="Times New Roman" w:hAnsi="Times New Roman"/>
        </w:rPr>
      </w:pPr>
    </w:p>
    <w:p w14:paraId="10F02F8D" w14:textId="5814975D" w:rsidR="000E7860" w:rsidRPr="000E7860" w:rsidRDefault="000E7860" w:rsidP="0082672B">
      <w:pPr>
        <w:pStyle w:val="ListParagraph"/>
        <w:numPr>
          <w:ilvl w:val="1"/>
          <w:numId w:val="8"/>
        </w:numPr>
        <w:spacing w:line="276" w:lineRule="auto"/>
        <w:rPr>
          <w:rFonts w:ascii="Times New Roman" w:hAnsi="Times New Roman"/>
          <w:b/>
          <w:bCs/>
          <w:color w:val="000000"/>
        </w:rPr>
      </w:pPr>
      <w:bookmarkStart w:id="11" w:name="_Toc305707159"/>
      <w:bookmarkEnd w:id="9"/>
      <w:r w:rsidRPr="000E7860">
        <w:rPr>
          <w:rFonts w:ascii="Times New Roman" w:hAnsi="Times New Roman"/>
          <w:b/>
          <w:bCs/>
          <w:color w:val="000000"/>
        </w:rPr>
        <w:t>Consultancy Services for AFSA on the introduction of IFRS 17</w:t>
      </w:r>
      <w:r w:rsidR="00186250">
        <w:rPr>
          <w:rFonts w:ascii="Times New Roman" w:hAnsi="Times New Roman"/>
          <w:b/>
          <w:bCs/>
          <w:color w:val="000000"/>
          <w:lang w:val="en-US"/>
        </w:rPr>
        <w:t xml:space="preserve"> “Insurance contracts”</w:t>
      </w:r>
      <w:r w:rsidR="00C94316">
        <w:rPr>
          <w:rFonts w:ascii="Times New Roman" w:hAnsi="Times New Roman"/>
          <w:b/>
          <w:bCs/>
          <w:color w:val="000000"/>
          <w:lang w:val="en-US"/>
        </w:rPr>
        <w:t xml:space="preserve"> and review of the financial statements</w:t>
      </w:r>
    </w:p>
    <w:p w14:paraId="06401555" w14:textId="77777777" w:rsidR="003B17FC" w:rsidRPr="00491236" w:rsidRDefault="003B17FC" w:rsidP="0082672B">
      <w:pPr>
        <w:pStyle w:val="ListParagraph"/>
        <w:spacing w:line="276" w:lineRule="auto"/>
        <w:ind w:left="375"/>
        <w:jc w:val="both"/>
        <w:rPr>
          <w:rFonts w:ascii="Times New Roman" w:hAnsi="Times New Roman"/>
          <w:b/>
          <w:lang w:val="en-US"/>
        </w:rPr>
      </w:pPr>
    </w:p>
    <w:p w14:paraId="665A1B5D" w14:textId="77777777" w:rsidR="000E7860" w:rsidRPr="00491236" w:rsidRDefault="000E7860" w:rsidP="0082672B">
      <w:pPr>
        <w:spacing w:after="0"/>
        <w:jc w:val="both"/>
        <w:rPr>
          <w:rFonts w:ascii="Times New Roman" w:hAnsi="Times New Roman"/>
          <w:color w:val="000000"/>
          <w:sz w:val="24"/>
          <w:szCs w:val="24"/>
        </w:rPr>
      </w:pPr>
      <w:r w:rsidRPr="00491236">
        <w:rPr>
          <w:rFonts w:ascii="Times New Roman" w:hAnsi="Times New Roman"/>
          <w:color w:val="000000"/>
          <w:sz w:val="24"/>
          <w:szCs w:val="24"/>
        </w:rPr>
        <w:t xml:space="preserve">Insurance companies in Albania are legally required to use International Financial Reporting Standards (IFRS) for their accounting. In May 2017, the International Accounting Standards Board issued IFRS 17, which replaced IFRS 4 as of January 2023 in European Union. </w:t>
      </w:r>
    </w:p>
    <w:p w14:paraId="29D8B8B2" w14:textId="77777777" w:rsidR="000E7860" w:rsidRPr="00491236" w:rsidRDefault="000E7860" w:rsidP="0082672B">
      <w:pPr>
        <w:spacing w:after="0"/>
        <w:jc w:val="both"/>
        <w:rPr>
          <w:rFonts w:ascii="Times New Roman" w:hAnsi="Times New Roman"/>
          <w:color w:val="000000"/>
          <w:sz w:val="24"/>
          <w:szCs w:val="24"/>
        </w:rPr>
      </w:pPr>
    </w:p>
    <w:p w14:paraId="7A324C71" w14:textId="77777777" w:rsidR="000E7860" w:rsidRPr="00491236" w:rsidRDefault="000E7860" w:rsidP="0082672B">
      <w:pPr>
        <w:spacing w:after="0"/>
        <w:jc w:val="both"/>
        <w:rPr>
          <w:rFonts w:ascii="Times New Roman" w:hAnsi="Times New Roman"/>
          <w:color w:val="000000"/>
          <w:sz w:val="24"/>
          <w:szCs w:val="24"/>
        </w:rPr>
      </w:pPr>
      <w:r w:rsidRPr="00491236">
        <w:rPr>
          <w:rFonts w:ascii="Times New Roman" w:hAnsi="Times New Roman"/>
          <w:color w:val="000000"/>
          <w:sz w:val="24"/>
          <w:szCs w:val="24"/>
        </w:rPr>
        <w:t xml:space="preserve">The objective of IFRS 17 is to improve financial reporting of insurance companies by providing more transparent, comparable information about: </w:t>
      </w:r>
    </w:p>
    <w:p w14:paraId="76AB8BB3" w14:textId="77777777" w:rsidR="000E7860" w:rsidRPr="00491236" w:rsidRDefault="000E7860" w:rsidP="0082672B">
      <w:pPr>
        <w:pStyle w:val="ListParagraph"/>
        <w:numPr>
          <w:ilvl w:val="0"/>
          <w:numId w:val="9"/>
        </w:numPr>
        <w:spacing w:line="276" w:lineRule="auto"/>
        <w:jc w:val="both"/>
        <w:rPr>
          <w:rFonts w:ascii="Times New Roman" w:hAnsi="Times New Roman"/>
          <w:color w:val="000000"/>
        </w:rPr>
      </w:pPr>
      <w:r w:rsidRPr="00491236">
        <w:rPr>
          <w:rFonts w:ascii="Times New Roman" w:hAnsi="Times New Roman"/>
          <w:color w:val="000000"/>
        </w:rPr>
        <w:t>the effect of the insurance contracts on financial performance</w:t>
      </w:r>
    </w:p>
    <w:p w14:paraId="2E1B4D96" w14:textId="77777777" w:rsidR="000E7860" w:rsidRPr="00491236" w:rsidRDefault="000E7860" w:rsidP="0082672B">
      <w:pPr>
        <w:pStyle w:val="ListParagraph"/>
        <w:numPr>
          <w:ilvl w:val="0"/>
          <w:numId w:val="9"/>
        </w:numPr>
        <w:spacing w:line="276" w:lineRule="auto"/>
        <w:jc w:val="both"/>
        <w:rPr>
          <w:rFonts w:ascii="Times New Roman" w:hAnsi="Times New Roman"/>
          <w:color w:val="000000"/>
        </w:rPr>
      </w:pPr>
      <w:r w:rsidRPr="00491236">
        <w:rPr>
          <w:rFonts w:ascii="Times New Roman" w:hAnsi="Times New Roman"/>
          <w:color w:val="000000"/>
        </w:rPr>
        <w:t>the way by which insurers earn profits or incur losses, through underwriting services and investing insurance premiums.</w:t>
      </w:r>
    </w:p>
    <w:p w14:paraId="687C3B32" w14:textId="77777777" w:rsidR="000E7860" w:rsidRPr="00491236" w:rsidRDefault="000E7860" w:rsidP="0082672B">
      <w:pPr>
        <w:pStyle w:val="ListParagraph"/>
        <w:numPr>
          <w:ilvl w:val="0"/>
          <w:numId w:val="9"/>
        </w:numPr>
        <w:spacing w:line="276" w:lineRule="auto"/>
        <w:jc w:val="both"/>
        <w:rPr>
          <w:rFonts w:ascii="Times New Roman" w:hAnsi="Times New Roman"/>
          <w:color w:val="000000"/>
        </w:rPr>
      </w:pPr>
      <w:r w:rsidRPr="00491236">
        <w:rPr>
          <w:rFonts w:ascii="Times New Roman" w:hAnsi="Times New Roman"/>
          <w:color w:val="000000"/>
        </w:rPr>
        <w:t>the nature and extent of risks borne by insurers from insurance contracts.</w:t>
      </w:r>
    </w:p>
    <w:p w14:paraId="00F7E6DA" w14:textId="77777777" w:rsidR="000E7860" w:rsidRPr="00491236" w:rsidRDefault="000E7860" w:rsidP="0082672B">
      <w:pPr>
        <w:spacing w:after="0"/>
        <w:jc w:val="both"/>
        <w:rPr>
          <w:rFonts w:ascii="Times New Roman" w:hAnsi="Times New Roman"/>
          <w:color w:val="000000"/>
          <w:sz w:val="24"/>
          <w:szCs w:val="24"/>
        </w:rPr>
      </w:pPr>
    </w:p>
    <w:p w14:paraId="415FEC12" w14:textId="77777777" w:rsidR="000E7860" w:rsidRPr="00930AF8" w:rsidRDefault="000E7860" w:rsidP="0082672B">
      <w:pPr>
        <w:spacing w:after="0"/>
        <w:jc w:val="both"/>
        <w:rPr>
          <w:rFonts w:ascii="Times New Roman" w:hAnsi="Times New Roman"/>
          <w:color w:val="000000"/>
          <w:sz w:val="24"/>
          <w:szCs w:val="24"/>
        </w:rPr>
      </w:pPr>
      <w:r w:rsidRPr="00491236">
        <w:rPr>
          <w:rFonts w:ascii="Times New Roman" w:hAnsi="Times New Roman"/>
          <w:color w:val="000000"/>
          <w:sz w:val="24"/>
          <w:szCs w:val="24"/>
        </w:rPr>
        <w:t xml:space="preserve">IFRS 17 will materially change the presentation of insurance results in the income statements and balance sheets of Albanian insurers. As such, it impacts finance, actuarial and data systems, product design and distribution, as well as budgeting and forecasting methodologies used for business planning. It is also </w:t>
      </w:r>
      <w:r w:rsidRPr="00930AF8">
        <w:rPr>
          <w:rFonts w:ascii="Times New Roman" w:hAnsi="Times New Roman"/>
          <w:color w:val="000000"/>
          <w:sz w:val="24"/>
          <w:szCs w:val="24"/>
        </w:rPr>
        <w:t xml:space="preserve">likely to impact the cash tax position and dividends, both on transition and going forward. </w:t>
      </w:r>
    </w:p>
    <w:p w14:paraId="17F05532" w14:textId="77777777" w:rsidR="000E7860" w:rsidRPr="00930AF8" w:rsidRDefault="000E7860" w:rsidP="0082672B">
      <w:pPr>
        <w:spacing w:after="0"/>
        <w:jc w:val="both"/>
        <w:rPr>
          <w:rFonts w:ascii="Times New Roman" w:hAnsi="Times New Roman"/>
          <w:color w:val="000000"/>
          <w:sz w:val="24"/>
          <w:szCs w:val="24"/>
        </w:rPr>
      </w:pPr>
    </w:p>
    <w:p w14:paraId="7A011842" w14:textId="6B1FE13B" w:rsidR="000E7860" w:rsidRPr="00930AF8" w:rsidRDefault="000E7860" w:rsidP="0082672B">
      <w:pPr>
        <w:spacing w:after="0"/>
        <w:jc w:val="both"/>
        <w:rPr>
          <w:rFonts w:ascii="Times New Roman" w:hAnsi="Times New Roman"/>
          <w:color w:val="000000"/>
          <w:sz w:val="24"/>
          <w:szCs w:val="24"/>
        </w:rPr>
      </w:pPr>
      <w:r w:rsidRPr="00930AF8">
        <w:rPr>
          <w:rFonts w:ascii="Times New Roman" w:hAnsi="Times New Roman"/>
          <w:color w:val="000000"/>
          <w:sz w:val="24"/>
          <w:szCs w:val="24"/>
        </w:rPr>
        <w:t>IFRS 17 will impact the valuation of actuarial liabilities, revenue recognition and solvency calculation. At the same time as IFRS 17 is implemented, IFRS 9</w:t>
      </w:r>
      <w:r w:rsidR="00186250">
        <w:rPr>
          <w:rFonts w:ascii="Times New Roman" w:hAnsi="Times New Roman"/>
          <w:color w:val="000000"/>
          <w:sz w:val="24"/>
          <w:szCs w:val="24"/>
        </w:rPr>
        <w:t xml:space="preserve"> “Financial instruments”</w:t>
      </w:r>
      <w:r w:rsidRPr="00930AF8">
        <w:rPr>
          <w:rFonts w:ascii="Times New Roman" w:hAnsi="Times New Roman"/>
          <w:color w:val="000000"/>
          <w:sz w:val="24"/>
          <w:szCs w:val="24"/>
        </w:rPr>
        <w:t xml:space="preserve"> will be implemented for insurers. In combination, IFRS 17 and IFRS 9 pose a significant change to the insurance accounting reporting framework and requires insurers to restructure their financial </w:t>
      </w:r>
      <w:r w:rsidRPr="00930AF8">
        <w:rPr>
          <w:rFonts w:ascii="Times New Roman" w:hAnsi="Times New Roman"/>
          <w:color w:val="000000"/>
          <w:sz w:val="24"/>
          <w:szCs w:val="24"/>
        </w:rPr>
        <w:lastRenderedPageBreak/>
        <w:t>reporting practices and financial statements. In this context, insurance regulators require a wider knowledge of IFRS 17 along with IFRS 9 and interactions between them so that they can adequately supervise (re)insurance entities.</w:t>
      </w:r>
    </w:p>
    <w:p w14:paraId="170C858E" w14:textId="77777777" w:rsidR="000E7860" w:rsidRPr="00930AF8" w:rsidRDefault="000E7860" w:rsidP="0082672B">
      <w:pPr>
        <w:spacing w:after="0"/>
        <w:jc w:val="both"/>
        <w:rPr>
          <w:rFonts w:ascii="Times New Roman" w:hAnsi="Times New Roman"/>
          <w:color w:val="000000"/>
          <w:sz w:val="24"/>
          <w:szCs w:val="24"/>
        </w:rPr>
      </w:pPr>
    </w:p>
    <w:p w14:paraId="566C4983" w14:textId="77777777" w:rsidR="000E7860" w:rsidRPr="00930AF8" w:rsidRDefault="000E7860" w:rsidP="0082672B">
      <w:pPr>
        <w:spacing w:after="0"/>
        <w:jc w:val="both"/>
        <w:rPr>
          <w:rFonts w:ascii="Times New Roman" w:hAnsi="Times New Roman"/>
          <w:color w:val="000000"/>
          <w:sz w:val="24"/>
          <w:szCs w:val="24"/>
        </w:rPr>
      </w:pPr>
      <w:r w:rsidRPr="00930AF8">
        <w:rPr>
          <w:rFonts w:ascii="Times New Roman" w:hAnsi="Times New Roman"/>
          <w:color w:val="000000"/>
          <w:sz w:val="24"/>
          <w:szCs w:val="24"/>
        </w:rPr>
        <w:t>In this context, more complex training is needed to cover all the actuarial aspects of IFRS 17, implementation challenges and best solutions. It will be relevant to analysts, actuaries and finance professionals and will provide in-depth understanding of the building blocks approach (BBA), premium allocation approach (PAA) and variable fees approach (VFA) under IFRS 17. In addition, the complex trainings will tackle the impact on actuarial modelling, risk adjustment and deferral of up-front profits, calculation of risk adjustment reflecting management’s appetite for risk over the run-off of claims reserves, illiquidity of cash flows in discount rates, impact on various types of contracts, claims, reserves and insurance liabilities, drivers of income statement volatility,  common pitfalls to avoid, as well as enhanced processes and controls  for insurance contracts and related liabilities.</w:t>
      </w:r>
    </w:p>
    <w:p w14:paraId="134D17E2" w14:textId="77777777" w:rsidR="000E7860" w:rsidRPr="00930AF8" w:rsidRDefault="000E7860" w:rsidP="0082672B">
      <w:pPr>
        <w:spacing w:after="0"/>
        <w:jc w:val="both"/>
        <w:rPr>
          <w:rFonts w:ascii="Times New Roman" w:hAnsi="Times New Roman"/>
          <w:color w:val="000000"/>
          <w:sz w:val="24"/>
          <w:szCs w:val="24"/>
        </w:rPr>
      </w:pPr>
    </w:p>
    <w:p w14:paraId="0F9A0528" w14:textId="77777777" w:rsidR="000E7860" w:rsidRPr="00930AF8" w:rsidRDefault="000E7860" w:rsidP="0082672B">
      <w:pPr>
        <w:spacing w:after="0"/>
        <w:jc w:val="both"/>
        <w:rPr>
          <w:rFonts w:ascii="Times New Roman" w:hAnsi="Times New Roman"/>
          <w:color w:val="000000"/>
          <w:sz w:val="24"/>
          <w:szCs w:val="24"/>
        </w:rPr>
      </w:pPr>
      <w:r w:rsidRPr="00930AF8">
        <w:rPr>
          <w:rFonts w:ascii="Times New Roman" w:hAnsi="Times New Roman"/>
          <w:color w:val="000000"/>
          <w:sz w:val="24"/>
          <w:szCs w:val="24"/>
        </w:rPr>
        <w:t xml:space="preserve">Given the fundamental changes and related complexities, considerable time is required to prepare the market for the IFRS 17 implementation. The preparation process should include (a) acquiring a good understanding of the IFRS 17 from insurance companies and the regulator and (b) the development of an implementation roadmap that will include important changes in insurers’ systems. </w:t>
      </w:r>
    </w:p>
    <w:p w14:paraId="22C49105" w14:textId="77777777" w:rsidR="000E7860" w:rsidRPr="00930AF8" w:rsidRDefault="000E7860" w:rsidP="0082672B">
      <w:pPr>
        <w:spacing w:after="0"/>
        <w:jc w:val="both"/>
        <w:rPr>
          <w:rFonts w:ascii="Times New Roman" w:hAnsi="Times New Roman"/>
          <w:color w:val="000000"/>
          <w:sz w:val="24"/>
          <w:szCs w:val="24"/>
        </w:rPr>
      </w:pPr>
    </w:p>
    <w:p w14:paraId="05C1F08F" w14:textId="77777777" w:rsidR="000E7860" w:rsidRPr="00930AF8" w:rsidRDefault="000E7860" w:rsidP="0082672B">
      <w:pPr>
        <w:spacing w:after="0"/>
        <w:jc w:val="both"/>
        <w:rPr>
          <w:rFonts w:ascii="Times New Roman" w:hAnsi="Times New Roman"/>
          <w:color w:val="000000"/>
          <w:sz w:val="24"/>
          <w:szCs w:val="24"/>
        </w:rPr>
      </w:pPr>
      <w:r w:rsidRPr="00930AF8">
        <w:rPr>
          <w:rFonts w:ascii="Times New Roman" w:hAnsi="Times New Roman"/>
          <w:color w:val="000000"/>
          <w:sz w:val="24"/>
          <w:szCs w:val="24"/>
        </w:rPr>
        <w:t>While implementation of IFRS 17 by AFSA requires extended and complex capacity building activities, these TORs will cover selected training topics. Further activities will be covered through other technical assistance projects. The TORs also are expected to cover refreshing trainings for AFSA on review of IFRS statements submitted by supervised entities.</w:t>
      </w:r>
    </w:p>
    <w:p w14:paraId="7C366354" w14:textId="77777777" w:rsidR="000E7860" w:rsidRPr="00930AF8" w:rsidRDefault="000E7860" w:rsidP="0082672B">
      <w:pPr>
        <w:spacing w:after="0"/>
        <w:jc w:val="both"/>
        <w:rPr>
          <w:rFonts w:ascii="Times New Roman" w:hAnsi="Times New Roman"/>
          <w:color w:val="000000"/>
          <w:sz w:val="24"/>
          <w:szCs w:val="24"/>
        </w:rPr>
      </w:pPr>
    </w:p>
    <w:p w14:paraId="5EA987DA" w14:textId="252CFD52" w:rsidR="000E7860" w:rsidRPr="00930AF8" w:rsidRDefault="000E7860" w:rsidP="0082672B">
      <w:pPr>
        <w:pStyle w:val="ListParagraph"/>
        <w:numPr>
          <w:ilvl w:val="2"/>
          <w:numId w:val="8"/>
        </w:numPr>
        <w:spacing w:line="276" w:lineRule="auto"/>
        <w:jc w:val="both"/>
        <w:rPr>
          <w:rFonts w:ascii="Times New Roman" w:hAnsi="Times New Roman"/>
          <w:i/>
          <w:iCs/>
          <w:color w:val="000000"/>
        </w:rPr>
      </w:pPr>
      <w:r w:rsidRPr="00930AF8">
        <w:rPr>
          <w:rFonts w:ascii="Times New Roman" w:hAnsi="Times New Roman"/>
          <w:i/>
          <w:iCs/>
          <w:color w:val="000000"/>
        </w:rPr>
        <w:t>Capacity building on IFRS 17</w:t>
      </w:r>
    </w:p>
    <w:p w14:paraId="28CDA876" w14:textId="77777777" w:rsidR="000E7860" w:rsidRPr="00930AF8" w:rsidRDefault="000E7860" w:rsidP="0082672B">
      <w:pPr>
        <w:spacing w:after="0"/>
        <w:jc w:val="both"/>
        <w:rPr>
          <w:rFonts w:ascii="Times New Roman" w:hAnsi="Times New Roman"/>
          <w:b/>
          <w:bCs/>
          <w:i/>
          <w:iCs/>
          <w:color w:val="000000"/>
          <w:sz w:val="24"/>
          <w:szCs w:val="24"/>
        </w:rPr>
      </w:pPr>
    </w:p>
    <w:p w14:paraId="74C490C7" w14:textId="4F8F3384" w:rsidR="000E7860" w:rsidRPr="00930AF8" w:rsidRDefault="00C24C1D" w:rsidP="0082672B">
      <w:pPr>
        <w:spacing w:after="0"/>
        <w:jc w:val="both"/>
        <w:rPr>
          <w:rFonts w:ascii="Times New Roman" w:hAnsi="Times New Roman"/>
          <w:color w:val="000000"/>
          <w:sz w:val="24"/>
          <w:szCs w:val="24"/>
        </w:rPr>
      </w:pPr>
      <w:r>
        <w:rPr>
          <w:rFonts w:ascii="Times New Roman" w:hAnsi="Times New Roman"/>
          <w:color w:val="000000"/>
          <w:sz w:val="24"/>
          <w:szCs w:val="24"/>
        </w:rPr>
        <w:t>The</w:t>
      </w:r>
      <w:r w:rsidR="000E7860" w:rsidRPr="00930AF8">
        <w:rPr>
          <w:rFonts w:ascii="Times New Roman" w:hAnsi="Times New Roman"/>
          <w:color w:val="000000"/>
          <w:sz w:val="24"/>
          <w:szCs w:val="24"/>
        </w:rPr>
        <w:t xml:space="preserve"> </w:t>
      </w:r>
      <w:r>
        <w:rPr>
          <w:rFonts w:ascii="Times New Roman" w:hAnsi="Times New Roman"/>
          <w:color w:val="000000"/>
          <w:sz w:val="24"/>
          <w:szCs w:val="24"/>
        </w:rPr>
        <w:t>C</w:t>
      </w:r>
      <w:r w:rsidR="000E7860" w:rsidRPr="00930AF8">
        <w:rPr>
          <w:rFonts w:ascii="Times New Roman" w:hAnsi="Times New Roman"/>
          <w:color w:val="000000"/>
          <w:sz w:val="24"/>
          <w:szCs w:val="24"/>
        </w:rPr>
        <w:t xml:space="preserve">onsultant </w:t>
      </w:r>
      <w:r>
        <w:rPr>
          <w:rFonts w:ascii="Times New Roman" w:hAnsi="Times New Roman"/>
          <w:color w:val="000000"/>
          <w:sz w:val="24"/>
          <w:szCs w:val="24"/>
        </w:rPr>
        <w:t>will</w:t>
      </w:r>
      <w:r w:rsidR="000E7860" w:rsidRPr="00930AF8">
        <w:rPr>
          <w:rFonts w:ascii="Times New Roman" w:hAnsi="Times New Roman"/>
          <w:color w:val="000000"/>
          <w:sz w:val="24"/>
          <w:szCs w:val="24"/>
        </w:rPr>
        <w:t xml:space="preserve"> provide AFSA with (a) working knowledge of the IFRS 17 </w:t>
      </w:r>
      <w:r w:rsidR="00A36681">
        <w:rPr>
          <w:rFonts w:ascii="Times New Roman" w:hAnsi="Times New Roman"/>
          <w:color w:val="000000"/>
          <w:sz w:val="24"/>
          <w:szCs w:val="24"/>
        </w:rPr>
        <w:t>provisions</w:t>
      </w:r>
      <w:r w:rsidR="00A36681" w:rsidRPr="00930AF8">
        <w:rPr>
          <w:rFonts w:ascii="Times New Roman" w:hAnsi="Times New Roman"/>
          <w:color w:val="000000"/>
          <w:sz w:val="24"/>
          <w:szCs w:val="24"/>
        </w:rPr>
        <w:t xml:space="preserve"> </w:t>
      </w:r>
      <w:r w:rsidR="000E7860" w:rsidRPr="00930AF8">
        <w:rPr>
          <w:rFonts w:ascii="Times New Roman" w:hAnsi="Times New Roman"/>
          <w:color w:val="000000"/>
          <w:sz w:val="24"/>
          <w:szCs w:val="24"/>
        </w:rPr>
        <w:t xml:space="preserve">and (b) a good understanding of insurance sector challenges toward the standard implementation. The </w:t>
      </w:r>
      <w:r w:rsidR="00A36681">
        <w:rPr>
          <w:rFonts w:ascii="Times New Roman" w:hAnsi="Times New Roman"/>
          <w:color w:val="000000"/>
          <w:sz w:val="24"/>
          <w:szCs w:val="24"/>
        </w:rPr>
        <w:t>C</w:t>
      </w:r>
      <w:r w:rsidR="000E7860" w:rsidRPr="00930AF8">
        <w:rPr>
          <w:rFonts w:ascii="Times New Roman" w:hAnsi="Times New Roman"/>
          <w:color w:val="000000"/>
          <w:sz w:val="24"/>
          <w:szCs w:val="24"/>
        </w:rPr>
        <w:t>onsultant is expected to deliver a cycle of training that will tackle the major technical differences between the IFRS 4</w:t>
      </w:r>
      <w:r w:rsidR="006460CE">
        <w:rPr>
          <w:rFonts w:ascii="Times New Roman" w:hAnsi="Times New Roman"/>
          <w:color w:val="000000"/>
          <w:sz w:val="24"/>
          <w:szCs w:val="24"/>
        </w:rPr>
        <w:t xml:space="preserve"> which is currently applied in Albania</w:t>
      </w:r>
      <w:r w:rsidR="000E7860" w:rsidRPr="00930AF8">
        <w:rPr>
          <w:rFonts w:ascii="Times New Roman" w:hAnsi="Times New Roman"/>
          <w:color w:val="000000"/>
          <w:sz w:val="24"/>
          <w:szCs w:val="24"/>
        </w:rPr>
        <w:t xml:space="preserve"> and IFRS 17 and provide know-how on the evaluation of such differences through practical exercises</w:t>
      </w:r>
      <w:r w:rsidR="000E3FDD">
        <w:rPr>
          <w:rFonts w:ascii="Times New Roman" w:hAnsi="Times New Roman"/>
          <w:color w:val="000000"/>
          <w:sz w:val="24"/>
          <w:szCs w:val="24"/>
        </w:rPr>
        <w:t>, as outlined in table 1 below.</w:t>
      </w:r>
    </w:p>
    <w:p w14:paraId="33F3214C" w14:textId="77777777" w:rsidR="000E7860" w:rsidRPr="00930AF8" w:rsidRDefault="000E7860" w:rsidP="0082672B">
      <w:pPr>
        <w:spacing w:after="0"/>
        <w:jc w:val="both"/>
        <w:rPr>
          <w:rFonts w:ascii="Times New Roman" w:hAnsi="Times New Roman"/>
          <w:color w:val="000000"/>
          <w:sz w:val="24"/>
          <w:szCs w:val="24"/>
        </w:rPr>
      </w:pPr>
    </w:p>
    <w:p w14:paraId="115135F5" w14:textId="25BF1A02" w:rsidR="000E7860" w:rsidRPr="00930AF8" w:rsidRDefault="000E7860" w:rsidP="0082672B">
      <w:pPr>
        <w:pStyle w:val="Caption"/>
        <w:keepNext/>
        <w:spacing w:line="276" w:lineRule="auto"/>
        <w:rPr>
          <w:i/>
          <w:iCs/>
          <w:color w:val="8EAADB" w:themeColor="accent1" w:themeTint="99"/>
          <w:sz w:val="20"/>
        </w:rPr>
      </w:pPr>
    </w:p>
    <w:tbl>
      <w:tblPr>
        <w:tblW w:w="5000" w:type="pct"/>
        <w:tblLook w:val="04A0" w:firstRow="1" w:lastRow="0" w:firstColumn="1" w:lastColumn="0" w:noHBand="0" w:noVBand="1"/>
      </w:tblPr>
      <w:tblGrid>
        <w:gridCol w:w="7226"/>
        <w:gridCol w:w="991"/>
        <w:gridCol w:w="1133"/>
      </w:tblGrid>
      <w:tr w:rsidR="000E7860" w:rsidRPr="00930AF8" w14:paraId="3459B151" w14:textId="77777777" w:rsidTr="007A68D3">
        <w:trPr>
          <w:trHeight w:val="246"/>
        </w:trPr>
        <w:tc>
          <w:tcPr>
            <w:tcW w:w="3864"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38FA735" w14:textId="27E0A1F7" w:rsidR="000E7860" w:rsidRPr="00930AF8" w:rsidRDefault="007C7B08" w:rsidP="0082672B">
            <w:pPr>
              <w:spacing w:after="0"/>
              <w:jc w:val="both"/>
              <w:rPr>
                <w:rFonts w:ascii="Times New Roman" w:hAnsi="Times New Roman"/>
                <w:b/>
                <w:bCs/>
                <w:color w:val="F2F2F2" w:themeColor="background1" w:themeShade="F2"/>
                <w:sz w:val="20"/>
                <w:szCs w:val="20"/>
              </w:rPr>
            </w:pPr>
            <w:bookmarkStart w:id="12" w:name="_Ref131004520"/>
            <w:r w:rsidRPr="003C09E0">
              <w:rPr>
                <w:color w:val="000000" w:themeColor="text1"/>
                <w:sz w:val="20"/>
              </w:rPr>
              <w:t xml:space="preserve">Table </w:t>
            </w:r>
            <w:r w:rsidRPr="003C09E0">
              <w:rPr>
                <w:i/>
                <w:iCs/>
                <w:color w:val="000000" w:themeColor="text1"/>
                <w:sz w:val="20"/>
              </w:rPr>
              <w:fldChar w:fldCharType="begin"/>
            </w:r>
            <w:r w:rsidRPr="003C09E0">
              <w:rPr>
                <w:color w:val="000000" w:themeColor="text1"/>
                <w:sz w:val="20"/>
              </w:rPr>
              <w:instrText xml:space="preserve"> SEQ Table \* ARABIC </w:instrText>
            </w:r>
            <w:r w:rsidRPr="003C09E0">
              <w:rPr>
                <w:i/>
                <w:iCs/>
                <w:color w:val="000000" w:themeColor="text1"/>
                <w:sz w:val="20"/>
              </w:rPr>
              <w:fldChar w:fldCharType="separate"/>
            </w:r>
            <w:r w:rsidRPr="003C09E0">
              <w:rPr>
                <w:noProof/>
                <w:color w:val="000000" w:themeColor="text1"/>
                <w:sz w:val="20"/>
              </w:rPr>
              <w:t>1</w:t>
            </w:r>
            <w:r w:rsidRPr="003C09E0">
              <w:rPr>
                <w:i/>
                <w:iCs/>
                <w:color w:val="000000" w:themeColor="text1"/>
                <w:sz w:val="20"/>
              </w:rPr>
              <w:fldChar w:fldCharType="end"/>
            </w:r>
            <w:bookmarkEnd w:id="12"/>
            <w:r w:rsidRPr="003C09E0">
              <w:rPr>
                <w:color w:val="000000" w:themeColor="text1"/>
                <w:sz w:val="20"/>
              </w:rPr>
              <w:t>: Areas covered by the training cycle</w:t>
            </w:r>
          </w:p>
        </w:tc>
        <w:tc>
          <w:tcPr>
            <w:tcW w:w="530" w:type="pct"/>
            <w:tcBorders>
              <w:top w:val="single" w:sz="4" w:space="0" w:color="auto"/>
              <w:left w:val="nil"/>
              <w:bottom w:val="nil"/>
              <w:right w:val="single" w:sz="4" w:space="0" w:color="auto"/>
            </w:tcBorders>
            <w:shd w:val="clear" w:color="auto" w:fill="A6A6A6" w:themeFill="background1" w:themeFillShade="A6"/>
            <w:vAlign w:val="center"/>
            <w:hideMark/>
          </w:tcPr>
          <w:p w14:paraId="690E86BA" w14:textId="77777777" w:rsidR="000E7860" w:rsidRPr="00930AF8" w:rsidRDefault="000E7860" w:rsidP="0082672B">
            <w:pPr>
              <w:spacing w:after="0"/>
              <w:jc w:val="center"/>
              <w:rPr>
                <w:rFonts w:ascii="Times New Roman" w:hAnsi="Times New Roman"/>
                <w:b/>
                <w:bCs/>
                <w:color w:val="F2F2F2" w:themeColor="background1" w:themeShade="F2"/>
                <w:sz w:val="20"/>
                <w:szCs w:val="20"/>
              </w:rPr>
            </w:pPr>
            <w:r w:rsidRPr="00930AF8">
              <w:rPr>
                <w:rFonts w:ascii="Times New Roman" w:hAnsi="Times New Roman"/>
                <w:b/>
                <w:bCs/>
                <w:color w:val="F2F2F2" w:themeColor="background1" w:themeShade="F2"/>
                <w:sz w:val="20"/>
                <w:szCs w:val="20"/>
              </w:rPr>
              <w:t>Theory</w:t>
            </w:r>
          </w:p>
        </w:tc>
        <w:tc>
          <w:tcPr>
            <w:tcW w:w="606" w:type="pct"/>
            <w:tcBorders>
              <w:top w:val="single" w:sz="4" w:space="0" w:color="auto"/>
              <w:left w:val="nil"/>
              <w:bottom w:val="nil"/>
              <w:right w:val="single" w:sz="4" w:space="0" w:color="auto"/>
            </w:tcBorders>
            <w:shd w:val="clear" w:color="auto" w:fill="A6A6A6" w:themeFill="background1" w:themeFillShade="A6"/>
            <w:vAlign w:val="center"/>
            <w:hideMark/>
          </w:tcPr>
          <w:p w14:paraId="6D536BC1" w14:textId="77777777" w:rsidR="000E7860" w:rsidRPr="00930AF8" w:rsidRDefault="000E7860" w:rsidP="0082672B">
            <w:pPr>
              <w:spacing w:after="0"/>
              <w:jc w:val="center"/>
              <w:rPr>
                <w:rFonts w:ascii="Times New Roman" w:hAnsi="Times New Roman"/>
                <w:b/>
                <w:bCs/>
                <w:color w:val="F2F2F2" w:themeColor="background1" w:themeShade="F2"/>
                <w:sz w:val="20"/>
                <w:szCs w:val="20"/>
              </w:rPr>
            </w:pPr>
            <w:r w:rsidRPr="00930AF8">
              <w:rPr>
                <w:rFonts w:ascii="Times New Roman" w:hAnsi="Times New Roman"/>
                <w:b/>
                <w:bCs/>
                <w:color w:val="F2F2F2" w:themeColor="background1" w:themeShade="F2"/>
                <w:sz w:val="20"/>
                <w:szCs w:val="20"/>
              </w:rPr>
              <w:t>Case studies</w:t>
            </w:r>
          </w:p>
        </w:tc>
      </w:tr>
      <w:tr w:rsidR="000E7860" w:rsidRPr="00930AF8" w14:paraId="2D12B587" w14:textId="77777777" w:rsidTr="007A68D3">
        <w:trPr>
          <w:trHeight w:val="246"/>
        </w:trPr>
        <w:tc>
          <w:tcPr>
            <w:tcW w:w="3864"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F440F9" w14:textId="77777777" w:rsidR="000E7860" w:rsidRPr="00930AF8" w:rsidRDefault="000E7860" w:rsidP="0082672B">
            <w:pPr>
              <w:spacing w:after="0"/>
              <w:rPr>
                <w:rFonts w:ascii="Times New Roman" w:hAnsi="Times New Roman"/>
                <w:b/>
                <w:bCs/>
                <w:color w:val="F2F2F2" w:themeColor="background1" w:themeShade="F2"/>
                <w:sz w:val="20"/>
                <w:szCs w:val="20"/>
              </w:rPr>
            </w:pPr>
          </w:p>
        </w:tc>
        <w:tc>
          <w:tcPr>
            <w:tcW w:w="530" w:type="pct"/>
            <w:tcBorders>
              <w:top w:val="nil"/>
              <w:left w:val="nil"/>
              <w:bottom w:val="single" w:sz="4" w:space="0" w:color="auto"/>
              <w:right w:val="single" w:sz="4" w:space="0" w:color="auto"/>
            </w:tcBorders>
            <w:shd w:val="clear" w:color="auto" w:fill="A6A6A6" w:themeFill="background1" w:themeFillShade="A6"/>
            <w:vAlign w:val="center"/>
            <w:hideMark/>
          </w:tcPr>
          <w:p w14:paraId="086D746A" w14:textId="77777777" w:rsidR="000E7860" w:rsidRPr="00930AF8" w:rsidRDefault="000E7860" w:rsidP="0082672B">
            <w:pPr>
              <w:spacing w:after="0"/>
              <w:jc w:val="center"/>
              <w:rPr>
                <w:rFonts w:ascii="Times New Roman" w:hAnsi="Times New Roman"/>
                <w:color w:val="F2F2F2" w:themeColor="background1" w:themeShade="F2"/>
                <w:sz w:val="20"/>
                <w:szCs w:val="20"/>
              </w:rPr>
            </w:pPr>
            <w:r w:rsidRPr="00930AF8">
              <w:rPr>
                <w:rFonts w:ascii="Times New Roman" w:hAnsi="Times New Roman"/>
                <w:color w:val="F2F2F2" w:themeColor="background1" w:themeShade="F2"/>
                <w:sz w:val="20"/>
                <w:szCs w:val="20"/>
              </w:rPr>
              <w:t># hours</w:t>
            </w:r>
          </w:p>
        </w:tc>
        <w:tc>
          <w:tcPr>
            <w:tcW w:w="606" w:type="pct"/>
            <w:tcBorders>
              <w:top w:val="nil"/>
              <w:left w:val="nil"/>
              <w:bottom w:val="single" w:sz="4" w:space="0" w:color="auto"/>
              <w:right w:val="single" w:sz="4" w:space="0" w:color="auto"/>
            </w:tcBorders>
            <w:shd w:val="clear" w:color="auto" w:fill="A6A6A6" w:themeFill="background1" w:themeFillShade="A6"/>
            <w:vAlign w:val="center"/>
            <w:hideMark/>
          </w:tcPr>
          <w:p w14:paraId="6A17C5F8" w14:textId="77777777" w:rsidR="000E7860" w:rsidRPr="00930AF8" w:rsidRDefault="000E7860" w:rsidP="0082672B">
            <w:pPr>
              <w:spacing w:after="0"/>
              <w:jc w:val="center"/>
              <w:rPr>
                <w:rFonts w:ascii="Times New Roman" w:hAnsi="Times New Roman"/>
                <w:color w:val="F2F2F2" w:themeColor="background1" w:themeShade="F2"/>
                <w:sz w:val="20"/>
                <w:szCs w:val="20"/>
              </w:rPr>
            </w:pPr>
            <w:r w:rsidRPr="00930AF8">
              <w:rPr>
                <w:rFonts w:ascii="Times New Roman" w:hAnsi="Times New Roman"/>
                <w:color w:val="F2F2F2" w:themeColor="background1" w:themeShade="F2"/>
                <w:sz w:val="20"/>
                <w:szCs w:val="20"/>
              </w:rPr>
              <w:t># hours</w:t>
            </w:r>
          </w:p>
        </w:tc>
      </w:tr>
      <w:tr w:rsidR="000E7860" w:rsidRPr="00930AF8" w14:paraId="271A0455" w14:textId="77777777" w:rsidTr="007A68D3">
        <w:trPr>
          <w:trHeight w:val="126"/>
        </w:trPr>
        <w:tc>
          <w:tcPr>
            <w:tcW w:w="3864" w:type="pct"/>
            <w:tcBorders>
              <w:top w:val="nil"/>
              <w:left w:val="nil"/>
              <w:bottom w:val="single" w:sz="4" w:space="0" w:color="auto"/>
              <w:right w:val="nil"/>
            </w:tcBorders>
            <w:shd w:val="clear" w:color="auto" w:fill="auto"/>
            <w:noWrap/>
            <w:vAlign w:val="bottom"/>
            <w:hideMark/>
          </w:tcPr>
          <w:p w14:paraId="41CACE3D" w14:textId="77777777" w:rsidR="000E7860" w:rsidRPr="00930AF8" w:rsidRDefault="000E7860" w:rsidP="0082672B">
            <w:pPr>
              <w:spacing w:after="0"/>
              <w:jc w:val="center"/>
              <w:rPr>
                <w:rFonts w:ascii="Times New Roman" w:hAnsi="Times New Roman"/>
                <w:color w:val="000000"/>
                <w:sz w:val="20"/>
                <w:szCs w:val="20"/>
              </w:rPr>
            </w:pPr>
          </w:p>
        </w:tc>
        <w:tc>
          <w:tcPr>
            <w:tcW w:w="530" w:type="pct"/>
            <w:tcBorders>
              <w:top w:val="nil"/>
              <w:left w:val="nil"/>
              <w:bottom w:val="single" w:sz="4" w:space="0" w:color="auto"/>
              <w:right w:val="nil"/>
            </w:tcBorders>
            <w:shd w:val="clear" w:color="auto" w:fill="auto"/>
            <w:noWrap/>
            <w:vAlign w:val="bottom"/>
            <w:hideMark/>
          </w:tcPr>
          <w:p w14:paraId="1C56DDF8" w14:textId="77777777" w:rsidR="000E7860" w:rsidRPr="00930AF8" w:rsidRDefault="000E7860" w:rsidP="0082672B">
            <w:pPr>
              <w:spacing w:after="0"/>
              <w:rPr>
                <w:rFonts w:ascii="Times New Roman" w:hAnsi="Times New Roman"/>
                <w:sz w:val="20"/>
                <w:szCs w:val="20"/>
              </w:rPr>
            </w:pPr>
          </w:p>
        </w:tc>
        <w:tc>
          <w:tcPr>
            <w:tcW w:w="606" w:type="pct"/>
            <w:tcBorders>
              <w:top w:val="nil"/>
              <w:left w:val="nil"/>
              <w:bottom w:val="single" w:sz="4" w:space="0" w:color="auto"/>
              <w:right w:val="nil"/>
            </w:tcBorders>
            <w:shd w:val="clear" w:color="auto" w:fill="auto"/>
            <w:noWrap/>
            <w:vAlign w:val="bottom"/>
            <w:hideMark/>
          </w:tcPr>
          <w:p w14:paraId="4B8E2479" w14:textId="77777777" w:rsidR="000E7860" w:rsidRPr="00930AF8" w:rsidRDefault="000E7860" w:rsidP="0082672B">
            <w:pPr>
              <w:spacing w:after="0"/>
              <w:rPr>
                <w:rFonts w:ascii="Times New Roman" w:hAnsi="Times New Roman"/>
                <w:sz w:val="20"/>
                <w:szCs w:val="20"/>
              </w:rPr>
            </w:pPr>
          </w:p>
        </w:tc>
      </w:tr>
      <w:tr w:rsidR="000E7860" w:rsidRPr="00930AF8" w14:paraId="125590CB"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C250A92" w14:textId="77777777" w:rsidR="000E7860" w:rsidRPr="00930AF8" w:rsidRDefault="000E7860" w:rsidP="0082672B">
            <w:pPr>
              <w:spacing w:after="0"/>
              <w:rPr>
                <w:rFonts w:ascii="Times New Roman" w:hAnsi="Times New Roman"/>
                <w:b/>
                <w:bCs/>
                <w:sz w:val="20"/>
                <w:szCs w:val="20"/>
              </w:rPr>
            </w:pPr>
            <w:r w:rsidRPr="00930AF8">
              <w:rPr>
                <w:rFonts w:ascii="Times New Roman" w:hAnsi="Times New Roman"/>
                <w:b/>
                <w:bCs/>
                <w:sz w:val="20"/>
                <w:szCs w:val="20"/>
              </w:rPr>
              <w:t>Introduction of IFRS 17</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41346C7"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28EFB90"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 </w:t>
            </w:r>
          </w:p>
        </w:tc>
      </w:tr>
      <w:tr w:rsidR="000E7860" w:rsidRPr="00930AF8" w14:paraId="25297CA8"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7A0682D" w14:textId="77777777" w:rsidR="000E7860" w:rsidRPr="00930AF8" w:rsidRDefault="000E7860" w:rsidP="0082672B">
            <w:pPr>
              <w:spacing w:after="0"/>
              <w:rPr>
                <w:rFonts w:ascii="Times New Roman" w:hAnsi="Times New Roman"/>
                <w:b/>
                <w:bCs/>
                <w:sz w:val="20"/>
                <w:szCs w:val="20"/>
              </w:rPr>
            </w:pPr>
            <w:r w:rsidRPr="00930AF8">
              <w:rPr>
                <w:rFonts w:ascii="Times New Roman" w:hAnsi="Times New Roman"/>
                <w:b/>
                <w:bCs/>
                <w:sz w:val="20"/>
                <w:szCs w:val="20"/>
              </w:rPr>
              <w:t>General Measurement Model (GMM)</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FC97B89"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5</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F9513E8"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5</w:t>
            </w:r>
          </w:p>
        </w:tc>
      </w:tr>
      <w:tr w:rsidR="000E7860" w:rsidRPr="00930AF8" w14:paraId="5A2A654F"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FF68C"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lastRenderedPageBreak/>
              <w:t>Best estimate of future cash flows</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23791"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AA64B"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r>
      <w:tr w:rsidR="000E7860" w:rsidRPr="00930AF8" w14:paraId="1D3F35C5" w14:textId="77777777" w:rsidTr="007A68D3">
        <w:trPr>
          <w:trHeight w:val="492"/>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D6E47"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t>Discounting (including impact of changes in discount rates and specific types of life insurance contracts)</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C66D3"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155A4"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r>
      <w:tr w:rsidR="000E7860" w:rsidRPr="00930AF8" w14:paraId="7FBB98A6"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E7B18"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t>Risk adjustment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507DB"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B48FB"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r>
      <w:tr w:rsidR="000E7860" w:rsidRPr="00930AF8" w14:paraId="141B7420"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C25D8"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t>Contractual service margin (CSM)</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4ADF4"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455B"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r>
      <w:tr w:rsidR="000E7860" w:rsidRPr="00930AF8" w14:paraId="788C2A67"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2AEB6"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t>Allowed simplifications for short-term contracts</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357A13"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8EB6B"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r>
      <w:tr w:rsidR="000E7860" w:rsidRPr="00930AF8" w14:paraId="7BE6F46A" w14:textId="77777777" w:rsidTr="007A68D3">
        <w:trPr>
          <w:trHeight w:val="492"/>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43BD03" w14:textId="77777777" w:rsidR="000E7860" w:rsidRPr="00930AF8" w:rsidRDefault="000E7860" w:rsidP="0082672B">
            <w:pPr>
              <w:spacing w:after="0"/>
              <w:rPr>
                <w:rFonts w:ascii="Times New Roman" w:hAnsi="Times New Roman"/>
                <w:b/>
                <w:bCs/>
                <w:sz w:val="20"/>
                <w:szCs w:val="20"/>
              </w:rPr>
            </w:pPr>
            <w:r w:rsidRPr="00930AF8">
              <w:rPr>
                <w:rFonts w:ascii="Times New Roman" w:hAnsi="Times New Roman"/>
                <w:b/>
                <w:bCs/>
                <w:sz w:val="20"/>
                <w:szCs w:val="20"/>
              </w:rPr>
              <w:t>Presentation and disclosure of financial statements compared to IFRS 4</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5B6DEDA"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39024F6"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r>
      <w:tr w:rsidR="000E7860" w:rsidRPr="00930AF8" w14:paraId="4BC3F702"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3B7ADF"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t>Level of Aggregation for Presentation and Measurement</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14:paraId="12E59A4D"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auto" w:fill="auto"/>
            <w:hideMark/>
          </w:tcPr>
          <w:p w14:paraId="0D5D34EC"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r>
      <w:tr w:rsidR="000E7860" w:rsidRPr="00930AF8" w14:paraId="43CC6AA4"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7E730"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t>Initial recognition (Calculation of CSM at initial recognition)</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CDFA6"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0.5</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CBA85"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r>
      <w:tr w:rsidR="000E7860" w:rsidRPr="00930AF8" w14:paraId="7DA91688"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3E5C1"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footnoteReference w:customMarkFollows="1" w:id="2"/>
              <w:t>Onerous Contracts</w:t>
            </w:r>
            <w:r w:rsidRPr="00930AF8">
              <w:rPr>
                <w:rStyle w:val="FootnoteReference"/>
                <w:rFonts w:ascii="Times New Roman" w:hAnsi="Times New Roman"/>
                <w:color w:val="0D0D0D" w:themeColor="text1" w:themeTint="F2"/>
                <w:sz w:val="20"/>
                <w:szCs w:val="20"/>
              </w:rPr>
              <w:footnoteReference w:id="3"/>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1DE3A"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0.5</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72AFD"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 </w:t>
            </w:r>
          </w:p>
        </w:tc>
      </w:tr>
      <w:tr w:rsidR="000E7860" w:rsidRPr="00930AF8" w14:paraId="79EB86E2" w14:textId="77777777" w:rsidTr="007A68D3">
        <w:trPr>
          <w:trHeight w:val="492"/>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AD24B74" w14:textId="77777777" w:rsidR="000E7860" w:rsidRPr="00930AF8" w:rsidRDefault="000E7860" w:rsidP="0082672B">
            <w:pPr>
              <w:spacing w:after="0"/>
              <w:rPr>
                <w:rFonts w:ascii="Times New Roman" w:hAnsi="Times New Roman"/>
                <w:b/>
                <w:bCs/>
                <w:sz w:val="20"/>
                <w:szCs w:val="20"/>
              </w:rPr>
            </w:pPr>
            <w:r w:rsidRPr="00930AF8">
              <w:rPr>
                <w:rFonts w:ascii="Times New Roman" w:hAnsi="Times New Roman"/>
                <w:b/>
                <w:bCs/>
                <w:sz w:val="20"/>
                <w:szCs w:val="20"/>
              </w:rPr>
              <w:t>Contract Boundary (cash flows should be included within the fulfilment cash flows, and hence the value of the CSM)</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0A57848"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7044582"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 </w:t>
            </w:r>
          </w:p>
        </w:tc>
      </w:tr>
      <w:tr w:rsidR="000E7860" w:rsidRPr="00930AF8" w14:paraId="0AF6AF4C"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BA27347" w14:textId="77777777" w:rsidR="000E7860" w:rsidRPr="00930AF8" w:rsidRDefault="000E7860" w:rsidP="0082672B">
            <w:pPr>
              <w:spacing w:after="0"/>
              <w:rPr>
                <w:rFonts w:ascii="Times New Roman" w:hAnsi="Times New Roman"/>
                <w:b/>
                <w:bCs/>
                <w:sz w:val="20"/>
                <w:szCs w:val="20"/>
              </w:rPr>
            </w:pPr>
            <w:r w:rsidRPr="00930AF8">
              <w:rPr>
                <w:rFonts w:ascii="Times New Roman" w:hAnsi="Times New Roman"/>
                <w:b/>
                <w:bCs/>
                <w:sz w:val="20"/>
                <w:szCs w:val="20"/>
              </w:rPr>
              <w:t>OCI (Other Comprehensive Income) Option</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2D4948"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E610482"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 </w:t>
            </w:r>
          </w:p>
        </w:tc>
      </w:tr>
      <w:tr w:rsidR="000E7860" w:rsidRPr="00930AF8" w14:paraId="2DB713E5"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AFA657" w14:textId="77777777" w:rsidR="000E7860" w:rsidRPr="00930AF8" w:rsidRDefault="000E7860" w:rsidP="0082672B">
            <w:pPr>
              <w:spacing w:after="0"/>
              <w:rPr>
                <w:rFonts w:ascii="Times New Roman" w:hAnsi="Times New Roman"/>
                <w:b/>
                <w:bCs/>
                <w:sz w:val="20"/>
                <w:szCs w:val="20"/>
              </w:rPr>
            </w:pPr>
            <w:r w:rsidRPr="00930AF8">
              <w:rPr>
                <w:rFonts w:ascii="Times New Roman" w:hAnsi="Times New Roman"/>
                <w:b/>
                <w:bCs/>
                <w:sz w:val="20"/>
                <w:szCs w:val="20"/>
              </w:rPr>
              <w:t>Premium Allocation Approach (PAA)</w:t>
            </w:r>
          </w:p>
        </w:tc>
        <w:tc>
          <w:tcPr>
            <w:tcW w:w="530" w:type="pct"/>
            <w:tcBorders>
              <w:top w:val="single" w:sz="4" w:space="0" w:color="auto"/>
              <w:left w:val="single" w:sz="4" w:space="0" w:color="auto"/>
              <w:bottom w:val="single" w:sz="4" w:space="0" w:color="auto"/>
              <w:right w:val="single" w:sz="4" w:space="0" w:color="auto"/>
            </w:tcBorders>
            <w:shd w:val="clear" w:color="000000" w:fill="F2F2F2"/>
            <w:hideMark/>
          </w:tcPr>
          <w:p w14:paraId="518D2621"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000000" w:fill="F2F2F2"/>
            <w:hideMark/>
          </w:tcPr>
          <w:p w14:paraId="2EFCA79E" w14:textId="77777777" w:rsidR="000E7860" w:rsidRPr="00930AF8" w:rsidRDefault="000E7860" w:rsidP="0082672B">
            <w:pPr>
              <w:spacing w:after="0"/>
              <w:rPr>
                <w:rFonts w:ascii="Times New Roman" w:hAnsi="Times New Roman"/>
                <w:color w:val="000000"/>
                <w:sz w:val="20"/>
                <w:szCs w:val="20"/>
              </w:rPr>
            </w:pPr>
            <w:r w:rsidRPr="00930AF8">
              <w:rPr>
                <w:rFonts w:ascii="Times New Roman" w:hAnsi="Times New Roman"/>
                <w:color w:val="000000"/>
                <w:sz w:val="20"/>
                <w:szCs w:val="20"/>
              </w:rPr>
              <w:t> </w:t>
            </w:r>
          </w:p>
        </w:tc>
      </w:tr>
      <w:tr w:rsidR="000E7860" w:rsidRPr="00930AF8" w14:paraId="49C6250E"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2F435"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t>Eligibility</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14:paraId="31DF820D"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auto" w:fill="auto"/>
            <w:hideMark/>
          </w:tcPr>
          <w:p w14:paraId="668CFCAB" w14:textId="77777777" w:rsidR="000E7860" w:rsidRPr="00930AF8" w:rsidRDefault="000E7860" w:rsidP="0082672B">
            <w:pPr>
              <w:spacing w:after="0"/>
              <w:rPr>
                <w:rFonts w:ascii="Times New Roman" w:hAnsi="Times New Roman"/>
                <w:color w:val="000000"/>
                <w:sz w:val="20"/>
                <w:szCs w:val="20"/>
              </w:rPr>
            </w:pPr>
            <w:r w:rsidRPr="00930AF8">
              <w:rPr>
                <w:rFonts w:ascii="Times New Roman" w:hAnsi="Times New Roman"/>
                <w:color w:val="000000"/>
                <w:sz w:val="20"/>
                <w:szCs w:val="20"/>
              </w:rPr>
              <w:t> </w:t>
            </w:r>
          </w:p>
        </w:tc>
      </w:tr>
      <w:tr w:rsidR="000E7860" w:rsidRPr="00930AF8" w14:paraId="0FE248BF"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86A5E" w14:textId="77777777" w:rsidR="000E7860" w:rsidRPr="00930AF8" w:rsidRDefault="000E7860" w:rsidP="0082672B">
            <w:pPr>
              <w:pStyle w:val="ListParagraph"/>
              <w:numPr>
                <w:ilvl w:val="0"/>
                <w:numId w:val="10"/>
              </w:numPr>
              <w:spacing w:line="276" w:lineRule="auto"/>
              <w:rPr>
                <w:rFonts w:ascii="Times New Roman" w:hAnsi="Times New Roman"/>
                <w:sz w:val="20"/>
                <w:szCs w:val="20"/>
              </w:rPr>
            </w:pPr>
            <w:r w:rsidRPr="00930AF8">
              <w:rPr>
                <w:rFonts w:ascii="Times New Roman" w:hAnsi="Times New Roman"/>
                <w:sz w:val="20"/>
                <w:szCs w:val="20"/>
              </w:rPr>
              <w:t>Allocation of revenue</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14:paraId="796581A5" w14:textId="77777777" w:rsidR="000E7860" w:rsidRPr="00930AF8" w:rsidRDefault="000E7860" w:rsidP="0082672B">
            <w:pPr>
              <w:spacing w:after="0"/>
              <w:jc w:val="center"/>
              <w:rPr>
                <w:rFonts w:ascii="Times New Roman" w:hAnsi="Times New Roman"/>
                <w:color w:val="000000"/>
                <w:sz w:val="20"/>
                <w:szCs w:val="20"/>
              </w:rPr>
            </w:pPr>
            <w:r w:rsidRPr="00930AF8">
              <w:rPr>
                <w:rFonts w:ascii="Times New Roman" w:hAnsi="Times New Roman"/>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auto" w:fill="auto"/>
            <w:hideMark/>
          </w:tcPr>
          <w:p w14:paraId="462B8D8E" w14:textId="77777777" w:rsidR="000E7860" w:rsidRPr="00930AF8" w:rsidRDefault="000E7860" w:rsidP="0082672B">
            <w:pPr>
              <w:spacing w:after="0"/>
              <w:rPr>
                <w:rFonts w:ascii="Times New Roman" w:hAnsi="Times New Roman"/>
                <w:color w:val="000000"/>
                <w:sz w:val="20"/>
                <w:szCs w:val="20"/>
              </w:rPr>
            </w:pPr>
            <w:r w:rsidRPr="00930AF8">
              <w:rPr>
                <w:rFonts w:ascii="Times New Roman" w:hAnsi="Times New Roman"/>
                <w:color w:val="000000"/>
                <w:sz w:val="20"/>
                <w:szCs w:val="20"/>
              </w:rPr>
              <w:t> </w:t>
            </w:r>
          </w:p>
        </w:tc>
      </w:tr>
      <w:tr w:rsidR="000E7860" w:rsidRPr="00930AF8" w14:paraId="4A5E5179"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70D77CA" w14:textId="77777777" w:rsidR="000E7860" w:rsidRPr="00930AF8" w:rsidRDefault="000E7860" w:rsidP="0082672B">
            <w:pPr>
              <w:spacing w:after="0"/>
              <w:ind w:firstLineChars="100" w:firstLine="201"/>
              <w:rPr>
                <w:rFonts w:ascii="Times New Roman" w:hAnsi="Times New Roman"/>
                <w:b/>
                <w:bCs/>
                <w:sz w:val="20"/>
                <w:szCs w:val="20"/>
              </w:rPr>
            </w:pPr>
            <w:r w:rsidRPr="00930AF8">
              <w:rPr>
                <w:rFonts w:ascii="Times New Roman" w:hAnsi="Times New Roman"/>
                <w:b/>
                <w:bCs/>
                <w:sz w:val="20"/>
                <w:szCs w:val="20"/>
              </w:rPr>
              <w:t xml:space="preserve">Variable Fee Approach (VFA) related to participating business </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AB96742"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BB37F4"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1</w:t>
            </w:r>
          </w:p>
        </w:tc>
      </w:tr>
      <w:tr w:rsidR="000E7860" w:rsidRPr="00930AF8" w14:paraId="5D590598"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F6873E3" w14:textId="77777777" w:rsidR="000E7860" w:rsidRPr="00930AF8" w:rsidRDefault="000E7860" w:rsidP="0082672B">
            <w:pPr>
              <w:spacing w:after="0"/>
              <w:ind w:firstLineChars="100" w:firstLine="201"/>
              <w:rPr>
                <w:rFonts w:ascii="Times New Roman" w:hAnsi="Times New Roman"/>
                <w:b/>
                <w:bCs/>
                <w:sz w:val="20"/>
                <w:szCs w:val="20"/>
              </w:rPr>
            </w:pPr>
            <w:r w:rsidRPr="00930AF8">
              <w:rPr>
                <w:rFonts w:ascii="Times New Roman" w:hAnsi="Times New Roman"/>
                <w:b/>
                <w:bCs/>
                <w:sz w:val="20"/>
                <w:szCs w:val="20"/>
              </w:rPr>
              <w:t>Reinsurance</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53298A5"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1</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116A8DE"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1</w:t>
            </w:r>
          </w:p>
        </w:tc>
      </w:tr>
      <w:tr w:rsidR="000E7860" w:rsidRPr="00930AF8" w14:paraId="04FCFC2F"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B3873DC" w14:textId="77777777" w:rsidR="000E7860" w:rsidRPr="00930AF8" w:rsidRDefault="000E7860" w:rsidP="0082672B">
            <w:pPr>
              <w:spacing w:after="0"/>
              <w:ind w:firstLineChars="100" w:firstLine="201"/>
              <w:rPr>
                <w:rFonts w:ascii="Times New Roman" w:hAnsi="Times New Roman"/>
                <w:b/>
                <w:bCs/>
                <w:sz w:val="20"/>
                <w:szCs w:val="20"/>
              </w:rPr>
            </w:pPr>
            <w:r w:rsidRPr="00930AF8">
              <w:rPr>
                <w:rFonts w:ascii="Times New Roman" w:hAnsi="Times New Roman"/>
                <w:b/>
                <w:bCs/>
                <w:sz w:val="20"/>
                <w:szCs w:val="20"/>
              </w:rPr>
              <w:t>IT and data requirements behind IFRS 17</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FC1837A"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000000" w:fill="F2F2F2"/>
            <w:hideMark/>
          </w:tcPr>
          <w:p w14:paraId="3DDDE73E"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r>
      <w:tr w:rsidR="000E7860" w:rsidRPr="00930AF8" w14:paraId="3567C608" w14:textId="77777777" w:rsidTr="007A68D3">
        <w:trPr>
          <w:trHeight w:val="795"/>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8635590" w14:textId="77777777" w:rsidR="000E7860" w:rsidRPr="00930AF8" w:rsidRDefault="000E7860" w:rsidP="0082672B">
            <w:pPr>
              <w:spacing w:after="0"/>
              <w:ind w:firstLineChars="100" w:firstLine="201"/>
              <w:rPr>
                <w:rFonts w:ascii="Times New Roman" w:hAnsi="Times New Roman"/>
                <w:b/>
                <w:bCs/>
                <w:sz w:val="20"/>
                <w:szCs w:val="20"/>
              </w:rPr>
            </w:pPr>
            <w:r w:rsidRPr="00930AF8">
              <w:rPr>
                <w:rFonts w:ascii="Times New Roman" w:hAnsi="Times New Roman"/>
                <w:b/>
                <w:bCs/>
                <w:sz w:val="20"/>
                <w:szCs w:val="20"/>
              </w:rPr>
              <w:t>Transition to IFRS 17 (modified retrospective approach vs. the fair value approach)</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D661E3"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C75FC95"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 </w:t>
            </w:r>
          </w:p>
        </w:tc>
      </w:tr>
      <w:tr w:rsidR="000E7860" w:rsidRPr="00930AF8" w14:paraId="1BFD5C94" w14:textId="77777777" w:rsidTr="007A68D3">
        <w:trPr>
          <w:trHeight w:val="492"/>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tcPr>
          <w:p w14:paraId="6924FBF1" w14:textId="77777777" w:rsidR="000E7860" w:rsidRPr="00930AF8" w:rsidRDefault="000E7860" w:rsidP="0082672B">
            <w:pPr>
              <w:spacing w:after="0"/>
              <w:ind w:firstLineChars="100" w:firstLine="201"/>
              <w:rPr>
                <w:rFonts w:ascii="Times New Roman" w:hAnsi="Times New Roman"/>
                <w:b/>
                <w:bCs/>
                <w:sz w:val="20"/>
                <w:szCs w:val="20"/>
              </w:rPr>
            </w:pPr>
            <w:r w:rsidRPr="00930AF8">
              <w:rPr>
                <w:rFonts w:ascii="Times New Roman" w:hAnsi="Times New Roman"/>
                <w:b/>
                <w:bCs/>
                <w:sz w:val="20"/>
                <w:szCs w:val="20"/>
              </w:rPr>
              <w:t>IFRS 9, introduction and impact on insurance business accounting</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tcPr>
          <w:p w14:paraId="4AE240FD" w14:textId="77777777" w:rsidR="000E7860" w:rsidRPr="00930AF8" w:rsidDel="00B9255D"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tcPr>
          <w:p w14:paraId="64E40E16"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1</w:t>
            </w:r>
          </w:p>
        </w:tc>
      </w:tr>
      <w:tr w:rsidR="000E7860" w:rsidRPr="00930AF8" w14:paraId="0AD47ED9" w14:textId="77777777" w:rsidTr="007A68D3">
        <w:trPr>
          <w:trHeight w:val="492"/>
        </w:trPr>
        <w:tc>
          <w:tcPr>
            <w:tcW w:w="3864" w:type="pct"/>
            <w:tcBorders>
              <w:top w:val="single" w:sz="4" w:space="0" w:color="auto"/>
              <w:left w:val="single" w:sz="4" w:space="0" w:color="auto"/>
              <w:bottom w:val="single" w:sz="4" w:space="0" w:color="auto"/>
              <w:right w:val="single" w:sz="4" w:space="0" w:color="auto"/>
            </w:tcBorders>
            <w:shd w:val="clear" w:color="000000" w:fill="F2F2F2"/>
            <w:vAlign w:val="center"/>
          </w:tcPr>
          <w:p w14:paraId="61D55389" w14:textId="77777777" w:rsidR="000E7860" w:rsidRPr="00930AF8" w:rsidRDefault="000E7860" w:rsidP="0082672B">
            <w:pPr>
              <w:spacing w:after="0"/>
              <w:ind w:firstLineChars="100" w:firstLine="201"/>
              <w:rPr>
                <w:rFonts w:ascii="Times New Roman" w:hAnsi="Times New Roman"/>
                <w:b/>
                <w:bCs/>
                <w:sz w:val="20"/>
                <w:szCs w:val="20"/>
              </w:rPr>
            </w:pPr>
            <w:r w:rsidRPr="00930AF8">
              <w:rPr>
                <w:rFonts w:ascii="Times New Roman" w:hAnsi="Times New Roman"/>
                <w:b/>
                <w:bCs/>
                <w:sz w:val="20"/>
                <w:szCs w:val="20"/>
              </w:rPr>
              <w:t>Interactions between IFRS 9 and IFRS 17, implications for insurance business</w:t>
            </w:r>
          </w:p>
        </w:tc>
        <w:tc>
          <w:tcPr>
            <w:tcW w:w="530" w:type="pct"/>
            <w:tcBorders>
              <w:top w:val="single" w:sz="4" w:space="0" w:color="auto"/>
              <w:left w:val="single" w:sz="4" w:space="0" w:color="auto"/>
              <w:bottom w:val="single" w:sz="4" w:space="0" w:color="auto"/>
              <w:right w:val="single" w:sz="4" w:space="0" w:color="auto"/>
            </w:tcBorders>
            <w:shd w:val="clear" w:color="000000" w:fill="F2F2F2"/>
            <w:vAlign w:val="center"/>
          </w:tcPr>
          <w:p w14:paraId="4FF28A55"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000000" w:fill="F2F2F2"/>
            <w:vAlign w:val="center"/>
          </w:tcPr>
          <w:p w14:paraId="26B1B75F" w14:textId="77777777" w:rsidR="000E7860" w:rsidRPr="00930AF8" w:rsidRDefault="000E7860" w:rsidP="0082672B">
            <w:pPr>
              <w:spacing w:after="0"/>
              <w:jc w:val="center"/>
              <w:rPr>
                <w:rFonts w:ascii="Times New Roman" w:hAnsi="Times New Roman"/>
                <w:b/>
                <w:bCs/>
                <w:color w:val="000000"/>
                <w:sz w:val="20"/>
                <w:szCs w:val="20"/>
              </w:rPr>
            </w:pPr>
            <w:r w:rsidRPr="00930AF8">
              <w:rPr>
                <w:rFonts w:ascii="Times New Roman" w:hAnsi="Times New Roman"/>
                <w:b/>
                <w:bCs/>
                <w:color w:val="000000"/>
                <w:sz w:val="20"/>
                <w:szCs w:val="20"/>
              </w:rPr>
              <w:t>1</w:t>
            </w:r>
          </w:p>
        </w:tc>
      </w:tr>
      <w:tr w:rsidR="000E7860" w:rsidRPr="00930AF8" w14:paraId="616A6308" w14:textId="77777777" w:rsidTr="007A68D3">
        <w:trPr>
          <w:trHeight w:val="246"/>
        </w:trPr>
        <w:tc>
          <w:tcPr>
            <w:tcW w:w="38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512FB50" w14:textId="77777777" w:rsidR="000E7860" w:rsidRPr="00930AF8" w:rsidRDefault="000E7860" w:rsidP="0082672B">
            <w:pPr>
              <w:spacing w:after="0"/>
              <w:ind w:firstLineChars="100" w:firstLine="201"/>
              <w:rPr>
                <w:rFonts w:ascii="Times New Roman" w:hAnsi="Times New Roman"/>
                <w:b/>
                <w:bCs/>
                <w:sz w:val="20"/>
                <w:szCs w:val="20"/>
              </w:rPr>
            </w:pPr>
            <w:r w:rsidRPr="00930AF8">
              <w:rPr>
                <w:rFonts w:ascii="Times New Roman" w:hAnsi="Times New Roman"/>
                <w:b/>
                <w:bCs/>
                <w:sz w:val="20"/>
                <w:szCs w:val="20"/>
              </w:rPr>
              <w:t>Total</w:t>
            </w:r>
          </w:p>
        </w:tc>
        <w:tc>
          <w:tcPr>
            <w:tcW w:w="53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143FF38C" w14:textId="77777777" w:rsidR="000E7860" w:rsidRPr="00930AF8" w:rsidRDefault="000E7860" w:rsidP="0082672B">
            <w:pPr>
              <w:spacing w:after="0"/>
              <w:jc w:val="center"/>
              <w:rPr>
                <w:rFonts w:ascii="Times New Roman" w:hAnsi="Times New Roman"/>
                <w:b/>
                <w:bCs/>
                <w:sz w:val="20"/>
                <w:szCs w:val="20"/>
              </w:rPr>
            </w:pPr>
            <w:r w:rsidRPr="00930AF8">
              <w:rPr>
                <w:rFonts w:ascii="Times New Roman" w:hAnsi="Times New Roman"/>
                <w:b/>
                <w:bCs/>
                <w:sz w:val="20"/>
                <w:szCs w:val="20"/>
              </w:rPr>
              <w:t>23</w:t>
            </w:r>
          </w:p>
        </w:tc>
        <w:tc>
          <w:tcPr>
            <w:tcW w:w="60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746F0046" w14:textId="77777777" w:rsidR="000E7860" w:rsidRPr="00930AF8" w:rsidRDefault="000E7860" w:rsidP="0082672B">
            <w:pPr>
              <w:spacing w:after="0"/>
              <w:jc w:val="center"/>
              <w:rPr>
                <w:rFonts w:ascii="Times New Roman" w:hAnsi="Times New Roman"/>
                <w:b/>
                <w:bCs/>
                <w:sz w:val="20"/>
                <w:szCs w:val="20"/>
              </w:rPr>
            </w:pPr>
            <w:r w:rsidRPr="00930AF8">
              <w:rPr>
                <w:rFonts w:ascii="Times New Roman" w:hAnsi="Times New Roman"/>
                <w:b/>
                <w:bCs/>
                <w:sz w:val="20"/>
                <w:szCs w:val="20"/>
              </w:rPr>
              <w:t>13</w:t>
            </w:r>
          </w:p>
        </w:tc>
      </w:tr>
    </w:tbl>
    <w:p w14:paraId="49660F6F" w14:textId="77777777" w:rsidR="000E7860" w:rsidRPr="00930AF8" w:rsidRDefault="000E7860" w:rsidP="0082672B">
      <w:pPr>
        <w:spacing w:after="0"/>
        <w:jc w:val="both"/>
        <w:rPr>
          <w:rFonts w:ascii="Times New Roman" w:hAnsi="Times New Roman"/>
          <w:sz w:val="24"/>
          <w:szCs w:val="24"/>
        </w:rPr>
      </w:pPr>
    </w:p>
    <w:p w14:paraId="6B6AF3E2" w14:textId="4428BADC" w:rsidR="000E7860" w:rsidRPr="00F26718" w:rsidRDefault="000E7860" w:rsidP="0082672B">
      <w:pPr>
        <w:spacing w:after="0"/>
        <w:jc w:val="both"/>
        <w:rPr>
          <w:rFonts w:ascii="Times New Roman" w:hAnsi="Times New Roman"/>
          <w:color w:val="000000"/>
          <w:sz w:val="24"/>
          <w:szCs w:val="24"/>
        </w:rPr>
      </w:pPr>
      <w:r w:rsidRPr="00F26718">
        <w:rPr>
          <w:rFonts w:ascii="Times New Roman" w:hAnsi="Times New Roman"/>
          <w:color w:val="000000"/>
          <w:sz w:val="24"/>
          <w:szCs w:val="24"/>
        </w:rPr>
        <w:t xml:space="preserve">The above training cycle shall be designed to be from an accounting and actuarial perspective. The participants should have knowledge of the current accounting principles applied in the insurance sector in Albania with no need for advance preparation. </w:t>
      </w:r>
      <w:r w:rsidR="008F5BC9" w:rsidRPr="00F26718">
        <w:rPr>
          <w:rFonts w:ascii="Times New Roman" w:hAnsi="Times New Roman"/>
          <w:color w:val="000000"/>
          <w:sz w:val="24"/>
          <w:szCs w:val="24"/>
        </w:rPr>
        <w:t xml:space="preserve">As advised by AFSA, staff from Albanian insurance companies will be invited to participate in selected sessions of the training. </w:t>
      </w:r>
    </w:p>
    <w:p w14:paraId="61855411" w14:textId="77777777" w:rsidR="000E7860" w:rsidRPr="00F26718" w:rsidRDefault="000E7860" w:rsidP="0082672B">
      <w:pPr>
        <w:spacing w:after="0"/>
        <w:jc w:val="both"/>
        <w:rPr>
          <w:rFonts w:ascii="Times New Roman" w:hAnsi="Times New Roman"/>
          <w:color w:val="000000"/>
          <w:sz w:val="24"/>
          <w:szCs w:val="24"/>
        </w:rPr>
      </w:pPr>
    </w:p>
    <w:p w14:paraId="52F6EB9F" w14:textId="77777777" w:rsidR="000E7860" w:rsidRPr="00930AF8" w:rsidRDefault="000E7860" w:rsidP="0082672B">
      <w:pPr>
        <w:spacing w:after="0"/>
        <w:jc w:val="both"/>
        <w:rPr>
          <w:rFonts w:ascii="Times New Roman" w:hAnsi="Times New Roman"/>
          <w:color w:val="000000"/>
        </w:rPr>
      </w:pPr>
    </w:p>
    <w:p w14:paraId="61D910AF" w14:textId="46684029" w:rsidR="000E7860" w:rsidRPr="00F26718" w:rsidRDefault="000E7860" w:rsidP="0082672B">
      <w:pPr>
        <w:pStyle w:val="ListParagraph"/>
        <w:numPr>
          <w:ilvl w:val="2"/>
          <w:numId w:val="8"/>
        </w:numPr>
        <w:spacing w:line="276" w:lineRule="auto"/>
        <w:jc w:val="both"/>
        <w:rPr>
          <w:rFonts w:ascii="Times New Roman" w:hAnsi="Times New Roman"/>
          <w:b/>
          <w:bCs/>
          <w:color w:val="000000"/>
        </w:rPr>
      </w:pPr>
      <w:r w:rsidRPr="00F26718">
        <w:rPr>
          <w:rFonts w:ascii="Times New Roman" w:hAnsi="Times New Roman"/>
          <w:b/>
          <w:bCs/>
          <w:iCs/>
          <w:color w:val="000000"/>
        </w:rPr>
        <w:t>Review of IFRS statements</w:t>
      </w:r>
    </w:p>
    <w:p w14:paraId="5F61F40C" w14:textId="77777777" w:rsidR="000E7860" w:rsidRPr="00F26718" w:rsidRDefault="000E7860" w:rsidP="0082672B">
      <w:pPr>
        <w:pStyle w:val="ListParagraph"/>
        <w:spacing w:line="276" w:lineRule="auto"/>
        <w:ind w:left="360"/>
        <w:jc w:val="both"/>
        <w:rPr>
          <w:rFonts w:ascii="Times New Roman" w:hAnsi="Times New Roman"/>
          <w:color w:val="000000"/>
          <w:lang w:val="en-US" w:eastAsia="en-US"/>
        </w:rPr>
      </w:pPr>
    </w:p>
    <w:p w14:paraId="5DBB30D3" w14:textId="41596B5A" w:rsidR="000E7860" w:rsidRPr="00F26718" w:rsidRDefault="000E7860" w:rsidP="007C7B08">
      <w:pPr>
        <w:jc w:val="both"/>
        <w:rPr>
          <w:rFonts w:ascii="Times New Roman" w:hAnsi="Times New Roman"/>
          <w:color w:val="000000"/>
          <w:sz w:val="24"/>
          <w:szCs w:val="24"/>
        </w:rPr>
      </w:pPr>
      <w:r w:rsidRPr="00F26718">
        <w:rPr>
          <w:rFonts w:ascii="Times New Roman" w:hAnsi="Times New Roman"/>
          <w:color w:val="000000"/>
          <w:sz w:val="24"/>
          <w:szCs w:val="24"/>
        </w:rPr>
        <w:t xml:space="preserve">The consultant will provide short refreshing training, 8-10 hours, to AFSA supervision staff on (i) checking the quality of the audited financial statements submitted by the supervised entities; and </w:t>
      </w:r>
      <w:r w:rsidRPr="00F26718">
        <w:rPr>
          <w:rFonts w:ascii="Times New Roman" w:hAnsi="Times New Roman"/>
          <w:color w:val="000000"/>
          <w:sz w:val="24"/>
          <w:szCs w:val="24"/>
        </w:rPr>
        <w:lastRenderedPageBreak/>
        <w:t xml:space="preserve">(ii) assessing of the external auditor report, including the assessment of issues in the management letter. </w:t>
      </w:r>
    </w:p>
    <w:p w14:paraId="33796228" w14:textId="45F66858" w:rsidR="000E7860" w:rsidRPr="00F26718" w:rsidRDefault="000E7860" w:rsidP="0082672B">
      <w:pPr>
        <w:jc w:val="both"/>
        <w:rPr>
          <w:rFonts w:ascii="Times New Roman" w:hAnsi="Times New Roman"/>
          <w:color w:val="000000"/>
          <w:sz w:val="24"/>
          <w:szCs w:val="24"/>
        </w:rPr>
      </w:pPr>
      <w:r w:rsidRPr="00F26718">
        <w:rPr>
          <w:rFonts w:ascii="Times New Roman" w:hAnsi="Times New Roman"/>
          <w:color w:val="000000"/>
          <w:sz w:val="24"/>
          <w:szCs w:val="24"/>
        </w:rPr>
        <w:t>The consultant will make use of guidelines already available at AFSA</w:t>
      </w:r>
      <w:r w:rsidR="008F5BC9" w:rsidRPr="00F26718">
        <w:rPr>
          <w:rFonts w:ascii="Times New Roman" w:hAnsi="Times New Roman"/>
          <w:color w:val="000000"/>
          <w:sz w:val="24"/>
          <w:szCs w:val="24"/>
        </w:rPr>
        <w:t>, prepared under the previous EQFINREP project, update if necessary,</w:t>
      </w:r>
      <w:r w:rsidRPr="00F26718">
        <w:rPr>
          <w:rFonts w:ascii="Times New Roman" w:hAnsi="Times New Roman"/>
          <w:color w:val="000000"/>
          <w:sz w:val="24"/>
          <w:szCs w:val="24"/>
        </w:rPr>
        <w:t xml:space="preserve"> and provide simple electronic tools for supporting training and for use by AFSA supervision staff later on.</w:t>
      </w:r>
    </w:p>
    <w:p w14:paraId="5F4A534C" w14:textId="77777777" w:rsidR="002B0079" w:rsidRPr="003F6A45" w:rsidRDefault="002B0079" w:rsidP="0082672B">
      <w:pPr>
        <w:pStyle w:val="ListParagraph"/>
        <w:spacing w:line="276" w:lineRule="auto"/>
        <w:ind w:left="375"/>
        <w:jc w:val="both"/>
        <w:rPr>
          <w:rFonts w:ascii="Times New Roman" w:hAnsi="Times New Roman"/>
          <w:b/>
          <w:lang w:val="en-US"/>
        </w:rPr>
      </w:pPr>
    </w:p>
    <w:p w14:paraId="6E11E6E7" w14:textId="77777777" w:rsidR="006E4033" w:rsidRPr="003F6A45" w:rsidRDefault="006E4033" w:rsidP="0082672B">
      <w:pPr>
        <w:pStyle w:val="ListParagraph"/>
        <w:numPr>
          <w:ilvl w:val="0"/>
          <w:numId w:val="5"/>
        </w:numPr>
        <w:spacing w:line="276" w:lineRule="auto"/>
        <w:jc w:val="both"/>
        <w:rPr>
          <w:rFonts w:ascii="Times New Roman" w:hAnsi="Times New Roman"/>
          <w:b/>
          <w:lang w:val="en-US"/>
        </w:rPr>
      </w:pPr>
      <w:bookmarkStart w:id="13" w:name="_Toc305707158"/>
      <w:bookmarkEnd w:id="11"/>
      <w:r w:rsidRPr="003F6A45">
        <w:rPr>
          <w:rFonts w:ascii="Times New Roman" w:hAnsi="Times New Roman"/>
          <w:b/>
          <w:lang w:val="en-US"/>
        </w:rPr>
        <w:t>Reporting and Deliverables</w:t>
      </w:r>
      <w:bookmarkEnd w:id="13"/>
    </w:p>
    <w:p w14:paraId="3FD410C6" w14:textId="77777777" w:rsidR="006E4033" w:rsidRPr="003F6A45" w:rsidRDefault="006E4033" w:rsidP="0082672B">
      <w:pPr>
        <w:jc w:val="both"/>
        <w:rPr>
          <w:rFonts w:ascii="Times New Roman" w:hAnsi="Times New Roman"/>
          <w:sz w:val="24"/>
          <w:szCs w:val="24"/>
        </w:rPr>
      </w:pPr>
      <w:r w:rsidRPr="003F6A45">
        <w:rPr>
          <w:rFonts w:ascii="Times New Roman" w:hAnsi="Times New Roman"/>
          <w:sz w:val="24"/>
          <w:szCs w:val="24"/>
        </w:rPr>
        <w:t>The Consultant will carry out the work in 3 phases:</w:t>
      </w:r>
    </w:p>
    <w:p w14:paraId="4594424A" w14:textId="77777777" w:rsidR="006E4033" w:rsidRPr="003F6A45" w:rsidRDefault="006E4033" w:rsidP="0082672B">
      <w:pPr>
        <w:numPr>
          <w:ilvl w:val="1"/>
          <w:numId w:val="4"/>
        </w:numPr>
        <w:spacing w:after="0"/>
        <w:jc w:val="both"/>
        <w:rPr>
          <w:rFonts w:ascii="Times New Roman" w:hAnsi="Times New Roman"/>
          <w:sz w:val="24"/>
          <w:szCs w:val="24"/>
        </w:rPr>
      </w:pPr>
      <w:r w:rsidRPr="003F6A45">
        <w:rPr>
          <w:rFonts w:ascii="Times New Roman" w:hAnsi="Times New Roman"/>
          <w:sz w:val="24"/>
          <w:szCs w:val="24"/>
        </w:rPr>
        <w:t xml:space="preserve">A planning </w:t>
      </w:r>
      <w:r w:rsidR="00335370" w:rsidRPr="003F6A45">
        <w:rPr>
          <w:rFonts w:ascii="Times New Roman" w:hAnsi="Times New Roman"/>
          <w:sz w:val="24"/>
          <w:szCs w:val="24"/>
        </w:rPr>
        <w:t>phase.</w:t>
      </w:r>
    </w:p>
    <w:p w14:paraId="63BFD9DC" w14:textId="77777777" w:rsidR="006E4033" w:rsidRPr="003F6A45" w:rsidRDefault="006E4033" w:rsidP="0082672B">
      <w:pPr>
        <w:numPr>
          <w:ilvl w:val="1"/>
          <w:numId w:val="4"/>
        </w:numPr>
        <w:spacing w:after="0"/>
        <w:jc w:val="both"/>
        <w:rPr>
          <w:rFonts w:ascii="Times New Roman" w:hAnsi="Times New Roman"/>
          <w:sz w:val="24"/>
          <w:szCs w:val="24"/>
        </w:rPr>
      </w:pPr>
      <w:r w:rsidRPr="003F6A45">
        <w:rPr>
          <w:rFonts w:ascii="Times New Roman" w:hAnsi="Times New Roman"/>
          <w:sz w:val="24"/>
          <w:szCs w:val="24"/>
        </w:rPr>
        <w:t xml:space="preserve">An implementation </w:t>
      </w:r>
      <w:r w:rsidR="00335370" w:rsidRPr="003F6A45">
        <w:rPr>
          <w:rFonts w:ascii="Times New Roman" w:hAnsi="Times New Roman"/>
          <w:sz w:val="24"/>
          <w:szCs w:val="24"/>
        </w:rPr>
        <w:t>phase.</w:t>
      </w:r>
    </w:p>
    <w:p w14:paraId="5215C9FA" w14:textId="77777777" w:rsidR="00160A00" w:rsidRPr="003F6A45" w:rsidRDefault="00160A00" w:rsidP="0082672B">
      <w:pPr>
        <w:numPr>
          <w:ilvl w:val="1"/>
          <w:numId w:val="4"/>
        </w:numPr>
        <w:spacing w:after="0"/>
        <w:jc w:val="both"/>
        <w:rPr>
          <w:rFonts w:ascii="Times New Roman" w:hAnsi="Times New Roman"/>
          <w:sz w:val="24"/>
          <w:szCs w:val="24"/>
        </w:rPr>
      </w:pPr>
      <w:r w:rsidRPr="003F6A45">
        <w:rPr>
          <w:rFonts w:ascii="Times New Roman" w:hAnsi="Times New Roman"/>
          <w:sz w:val="24"/>
          <w:szCs w:val="24"/>
        </w:rPr>
        <w:t>Final Phase</w:t>
      </w:r>
      <w:r w:rsidR="00335370" w:rsidRPr="003F6A45">
        <w:rPr>
          <w:rFonts w:ascii="Times New Roman" w:hAnsi="Times New Roman"/>
          <w:sz w:val="24"/>
          <w:szCs w:val="24"/>
        </w:rPr>
        <w:t>.</w:t>
      </w:r>
    </w:p>
    <w:p w14:paraId="28F25BBB" w14:textId="77777777" w:rsidR="00A917DC" w:rsidRPr="003F6A45" w:rsidRDefault="00A917DC" w:rsidP="0082672B">
      <w:pPr>
        <w:jc w:val="both"/>
        <w:rPr>
          <w:rFonts w:ascii="Times New Roman" w:hAnsi="Times New Roman"/>
          <w:b/>
          <w:sz w:val="24"/>
          <w:szCs w:val="24"/>
        </w:rPr>
      </w:pPr>
    </w:p>
    <w:p w14:paraId="74B5DB97" w14:textId="77777777" w:rsidR="006E4033" w:rsidRPr="003F6A45" w:rsidRDefault="006E4033" w:rsidP="0082672B">
      <w:pPr>
        <w:jc w:val="both"/>
        <w:rPr>
          <w:rFonts w:ascii="Times New Roman" w:hAnsi="Times New Roman"/>
          <w:b/>
          <w:sz w:val="24"/>
          <w:szCs w:val="24"/>
        </w:rPr>
      </w:pPr>
      <w:r w:rsidRPr="003F6A45">
        <w:rPr>
          <w:rFonts w:ascii="Times New Roman" w:hAnsi="Times New Roman"/>
          <w:b/>
          <w:sz w:val="24"/>
          <w:szCs w:val="24"/>
        </w:rPr>
        <w:t>Planning Phase</w:t>
      </w:r>
    </w:p>
    <w:p w14:paraId="7FB614B5" w14:textId="77777777" w:rsidR="006E4033" w:rsidRPr="003F6A45" w:rsidRDefault="006E4033" w:rsidP="0082672B">
      <w:pPr>
        <w:jc w:val="both"/>
        <w:rPr>
          <w:rFonts w:ascii="Times New Roman" w:hAnsi="Times New Roman"/>
          <w:sz w:val="24"/>
          <w:szCs w:val="24"/>
        </w:rPr>
      </w:pPr>
      <w:r w:rsidRPr="003F6A45">
        <w:rPr>
          <w:rFonts w:ascii="Times New Roman" w:hAnsi="Times New Roman"/>
          <w:sz w:val="24"/>
          <w:szCs w:val="24"/>
        </w:rPr>
        <w:t>A</w:t>
      </w:r>
      <w:r w:rsidR="00781D23" w:rsidRPr="003F6A45">
        <w:rPr>
          <w:rFonts w:ascii="Times New Roman" w:hAnsi="Times New Roman"/>
          <w:sz w:val="24"/>
          <w:szCs w:val="24"/>
        </w:rPr>
        <w:t>n inception report will contain a</w:t>
      </w:r>
      <w:r w:rsidRPr="003F6A45">
        <w:rPr>
          <w:rFonts w:ascii="Times New Roman" w:hAnsi="Times New Roman"/>
          <w:sz w:val="24"/>
          <w:szCs w:val="24"/>
        </w:rPr>
        <w:t xml:space="preserve"> comprehensive work plan, following a preliminary assignment analysis, covering all tasks, including but not limited to, a full description of work to be performed and methodology followed, lists of documents to be reviewed, persons/institutions to be interviewed, timetables of deliverables including visits and training/awareness events. The work plan will have to be agreed with beneficiaries. The </w:t>
      </w:r>
      <w:r w:rsidR="00335370" w:rsidRPr="003F6A45">
        <w:rPr>
          <w:rFonts w:ascii="Times New Roman" w:hAnsi="Times New Roman"/>
          <w:sz w:val="24"/>
          <w:szCs w:val="24"/>
        </w:rPr>
        <w:t>work</w:t>
      </w:r>
      <w:r w:rsidRPr="003F6A45">
        <w:rPr>
          <w:rFonts w:ascii="Times New Roman" w:hAnsi="Times New Roman"/>
          <w:sz w:val="24"/>
          <w:szCs w:val="24"/>
        </w:rPr>
        <w:t xml:space="preserve"> plan needs to be submitted within 30 days after the signing of the contract. </w:t>
      </w:r>
    </w:p>
    <w:p w14:paraId="0745507B" w14:textId="77777777" w:rsidR="006E4033" w:rsidRPr="003F6A45" w:rsidRDefault="006E4033" w:rsidP="0082672B">
      <w:pPr>
        <w:jc w:val="both"/>
        <w:rPr>
          <w:rFonts w:ascii="Times New Roman" w:hAnsi="Times New Roman"/>
          <w:b/>
          <w:sz w:val="24"/>
          <w:szCs w:val="24"/>
        </w:rPr>
      </w:pPr>
      <w:r w:rsidRPr="003F6A45">
        <w:rPr>
          <w:rFonts w:ascii="Times New Roman" w:hAnsi="Times New Roman"/>
          <w:b/>
          <w:sz w:val="24"/>
          <w:szCs w:val="24"/>
        </w:rPr>
        <w:t>Implementation Phase:</w:t>
      </w:r>
    </w:p>
    <w:p w14:paraId="738E6CEA" w14:textId="074263F0" w:rsidR="006E4033" w:rsidRPr="007C7B08" w:rsidRDefault="006E4033" w:rsidP="007C7B08">
      <w:pPr>
        <w:jc w:val="both"/>
        <w:rPr>
          <w:rFonts w:ascii="Times New Roman" w:hAnsi="Times New Roman"/>
          <w:sz w:val="24"/>
          <w:szCs w:val="24"/>
        </w:rPr>
      </w:pPr>
      <w:r w:rsidRPr="003F6A45">
        <w:rPr>
          <w:rFonts w:ascii="Times New Roman" w:hAnsi="Times New Roman"/>
          <w:sz w:val="24"/>
          <w:szCs w:val="24"/>
        </w:rPr>
        <w:t>The consultant is expected to produce the following deliverables: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595"/>
        <w:gridCol w:w="2111"/>
      </w:tblGrid>
      <w:tr w:rsidR="002E5B3B" w:rsidRPr="003F6A45" w14:paraId="5757E128" w14:textId="77777777" w:rsidTr="002B0079">
        <w:tc>
          <w:tcPr>
            <w:tcW w:w="644" w:type="dxa"/>
            <w:shd w:val="clear" w:color="auto" w:fill="E5B8B7"/>
          </w:tcPr>
          <w:p w14:paraId="502057F5" w14:textId="509226A8" w:rsidR="002E5B3B" w:rsidRPr="003F6A45" w:rsidRDefault="00C94316" w:rsidP="0082672B">
            <w:pPr>
              <w:spacing w:after="0"/>
              <w:rPr>
                <w:rFonts w:ascii="Times New Roman" w:hAnsi="Times New Roman"/>
                <w:sz w:val="24"/>
                <w:szCs w:val="24"/>
              </w:rPr>
            </w:pPr>
            <w:r>
              <w:rPr>
                <w:rFonts w:ascii="Times New Roman" w:hAnsi="Times New Roman"/>
                <w:sz w:val="24"/>
                <w:szCs w:val="24"/>
              </w:rPr>
              <w:t>3.1</w:t>
            </w:r>
          </w:p>
        </w:tc>
        <w:tc>
          <w:tcPr>
            <w:tcW w:w="6595" w:type="dxa"/>
            <w:shd w:val="clear" w:color="auto" w:fill="E5B8B7"/>
          </w:tcPr>
          <w:p w14:paraId="6B11A7C6" w14:textId="4B7627BD" w:rsidR="00C94316" w:rsidRPr="00275520" w:rsidRDefault="002E5B3B" w:rsidP="0082672B">
            <w:pPr>
              <w:jc w:val="both"/>
              <w:rPr>
                <w:rFonts w:ascii="Times New Roman" w:hAnsi="Times New Roman"/>
                <w:b/>
                <w:sz w:val="24"/>
                <w:szCs w:val="24"/>
              </w:rPr>
            </w:pPr>
            <w:r w:rsidRPr="00C94316">
              <w:rPr>
                <w:rFonts w:ascii="Times New Roman" w:hAnsi="Times New Roman"/>
                <w:b/>
                <w:sz w:val="24"/>
                <w:szCs w:val="24"/>
              </w:rPr>
              <w:t xml:space="preserve">Deliverables under </w:t>
            </w:r>
            <w:r w:rsidR="00C94316">
              <w:rPr>
                <w:rFonts w:ascii="Times New Roman" w:hAnsi="Times New Roman"/>
                <w:b/>
                <w:sz w:val="24"/>
                <w:szCs w:val="24"/>
              </w:rPr>
              <w:t>activity</w:t>
            </w:r>
            <w:r w:rsidRPr="00C94316">
              <w:rPr>
                <w:rFonts w:ascii="Times New Roman" w:hAnsi="Times New Roman"/>
                <w:b/>
                <w:sz w:val="24"/>
                <w:szCs w:val="24"/>
              </w:rPr>
              <w:t xml:space="preserve"> 3.1: - </w:t>
            </w:r>
            <w:r w:rsidR="00C94316" w:rsidRPr="00275520">
              <w:rPr>
                <w:rFonts w:ascii="Times New Roman" w:hAnsi="Times New Roman"/>
                <w:b/>
                <w:sz w:val="24"/>
                <w:szCs w:val="24"/>
              </w:rPr>
              <w:t>Support to NAC to develop and implement a risk based Financial Statements monitoring methodology.</w:t>
            </w:r>
          </w:p>
          <w:p w14:paraId="03DB318B" w14:textId="04E54841" w:rsidR="002E5B3B" w:rsidRPr="003F6A45" w:rsidRDefault="002E5B3B" w:rsidP="0082672B">
            <w:pPr>
              <w:spacing w:after="0"/>
              <w:rPr>
                <w:rFonts w:ascii="Times New Roman" w:hAnsi="Times New Roman"/>
                <w:b/>
                <w:sz w:val="24"/>
                <w:szCs w:val="24"/>
              </w:rPr>
            </w:pPr>
          </w:p>
        </w:tc>
        <w:tc>
          <w:tcPr>
            <w:tcW w:w="2111" w:type="dxa"/>
            <w:shd w:val="clear" w:color="auto" w:fill="E5B8B7"/>
          </w:tcPr>
          <w:p w14:paraId="0B084551" w14:textId="77777777" w:rsidR="002E5B3B" w:rsidRPr="003F6A45" w:rsidRDefault="002E5B3B" w:rsidP="0082672B">
            <w:pPr>
              <w:spacing w:after="0"/>
              <w:rPr>
                <w:rFonts w:ascii="Times New Roman" w:hAnsi="Times New Roman"/>
                <w:b/>
                <w:sz w:val="24"/>
                <w:szCs w:val="24"/>
              </w:rPr>
            </w:pPr>
            <w:r w:rsidRPr="003F6A45">
              <w:rPr>
                <w:rFonts w:ascii="Times New Roman" w:hAnsi="Times New Roman"/>
                <w:b/>
                <w:sz w:val="24"/>
                <w:szCs w:val="24"/>
              </w:rPr>
              <w:t>Delivery date</w:t>
            </w:r>
          </w:p>
        </w:tc>
      </w:tr>
      <w:tr w:rsidR="002E5B3B" w:rsidRPr="003F6A45" w14:paraId="698BCFE7" w14:textId="77777777" w:rsidTr="002B0079">
        <w:tc>
          <w:tcPr>
            <w:tcW w:w="644" w:type="dxa"/>
          </w:tcPr>
          <w:p w14:paraId="6165A63A" w14:textId="77777777" w:rsidR="002E5B3B" w:rsidRPr="003F6A45" w:rsidRDefault="002E5B3B" w:rsidP="0082672B">
            <w:pPr>
              <w:spacing w:after="0"/>
              <w:rPr>
                <w:rFonts w:ascii="Times New Roman" w:hAnsi="Times New Roman"/>
                <w:sz w:val="24"/>
                <w:szCs w:val="24"/>
              </w:rPr>
            </w:pPr>
            <w:r w:rsidRPr="003F6A45">
              <w:rPr>
                <w:rFonts w:ascii="Times New Roman" w:hAnsi="Times New Roman"/>
                <w:sz w:val="24"/>
                <w:szCs w:val="24"/>
              </w:rPr>
              <w:t xml:space="preserve">1 </w:t>
            </w:r>
          </w:p>
        </w:tc>
        <w:tc>
          <w:tcPr>
            <w:tcW w:w="6595" w:type="dxa"/>
          </w:tcPr>
          <w:p w14:paraId="113ADC15" w14:textId="0A486521" w:rsidR="002E5B3B" w:rsidRPr="003F6A45" w:rsidRDefault="007616B7" w:rsidP="007616B7">
            <w:pPr>
              <w:pStyle w:val="ListParagraph"/>
              <w:spacing w:line="276" w:lineRule="auto"/>
              <w:ind w:left="0"/>
              <w:jc w:val="both"/>
              <w:rPr>
                <w:rFonts w:ascii="Times New Roman" w:hAnsi="Times New Roman"/>
                <w:lang w:val="en-US"/>
              </w:rPr>
            </w:pPr>
            <w:r w:rsidRPr="00275520">
              <w:rPr>
                <w:rFonts w:ascii="Times New Roman" w:hAnsi="Times New Roman"/>
                <w:lang w:val="en-US" w:eastAsia="en-US"/>
              </w:rPr>
              <w:t xml:space="preserve">The risk-based financial statements monitoring methodology </w:t>
            </w:r>
            <w:r>
              <w:rPr>
                <w:rFonts w:ascii="Times New Roman" w:hAnsi="Times New Roman"/>
                <w:lang w:val="en-US" w:eastAsia="en-US"/>
              </w:rPr>
              <w:t xml:space="preserve">to support the </w:t>
            </w:r>
            <w:r w:rsidR="00DF06E9">
              <w:rPr>
                <w:rFonts w:ascii="Times New Roman" w:hAnsi="Times New Roman"/>
                <w:lang w:val="en-US" w:eastAsia="en-US"/>
              </w:rPr>
              <w:t>research</w:t>
            </w:r>
            <w:r>
              <w:rPr>
                <w:rFonts w:ascii="Times New Roman" w:hAnsi="Times New Roman"/>
                <w:lang w:val="en-US" w:eastAsia="en-US"/>
              </w:rPr>
              <w:t xml:space="preserve"> activities</w:t>
            </w:r>
            <w:r w:rsidR="00DF06E9">
              <w:rPr>
                <w:rFonts w:ascii="Times New Roman" w:hAnsi="Times New Roman"/>
                <w:lang w:val="en-US" w:eastAsia="en-US"/>
              </w:rPr>
              <w:t xml:space="preserve"> of the accounting framework</w:t>
            </w:r>
            <w:r>
              <w:rPr>
                <w:rFonts w:ascii="Times New Roman" w:hAnsi="Times New Roman"/>
                <w:lang w:val="en-US" w:eastAsia="en-US"/>
              </w:rPr>
              <w:t xml:space="preserve"> by NAC</w:t>
            </w:r>
            <w:r w:rsidR="00DF06E9">
              <w:rPr>
                <w:rFonts w:ascii="Times New Roman" w:hAnsi="Times New Roman"/>
                <w:lang w:val="en-US" w:eastAsia="en-US"/>
              </w:rPr>
              <w:t>.</w:t>
            </w:r>
          </w:p>
        </w:tc>
        <w:tc>
          <w:tcPr>
            <w:tcW w:w="2111" w:type="dxa"/>
          </w:tcPr>
          <w:p w14:paraId="1A19C448" w14:textId="645A9BBC" w:rsidR="002E5B3B" w:rsidRPr="003F6A45" w:rsidRDefault="00570A48" w:rsidP="0082672B">
            <w:pPr>
              <w:spacing w:after="0"/>
              <w:rPr>
                <w:rFonts w:ascii="Times New Roman" w:hAnsi="Times New Roman"/>
                <w:b/>
                <w:sz w:val="24"/>
                <w:szCs w:val="24"/>
              </w:rPr>
            </w:pPr>
            <w:r>
              <w:rPr>
                <w:rFonts w:ascii="Times New Roman" w:hAnsi="Times New Roman"/>
                <w:b/>
                <w:sz w:val="24"/>
                <w:szCs w:val="24"/>
              </w:rPr>
              <w:t xml:space="preserve">Within </w:t>
            </w:r>
            <w:r w:rsidR="00C66E51">
              <w:rPr>
                <w:rFonts w:ascii="Times New Roman" w:hAnsi="Times New Roman"/>
                <w:b/>
                <w:sz w:val="24"/>
                <w:szCs w:val="24"/>
              </w:rPr>
              <w:t xml:space="preserve">3 months from </w:t>
            </w:r>
            <w:r w:rsidR="001D1DFC">
              <w:rPr>
                <w:rFonts w:ascii="Times New Roman" w:hAnsi="Times New Roman"/>
                <w:b/>
                <w:sz w:val="24"/>
                <w:szCs w:val="24"/>
              </w:rPr>
              <w:t xml:space="preserve">contract signature </w:t>
            </w:r>
          </w:p>
        </w:tc>
      </w:tr>
      <w:tr w:rsidR="002E5B3B" w:rsidRPr="003F6A45" w14:paraId="18B43F78" w14:textId="77777777" w:rsidTr="002B0079">
        <w:tc>
          <w:tcPr>
            <w:tcW w:w="644" w:type="dxa"/>
          </w:tcPr>
          <w:p w14:paraId="33B3B147" w14:textId="77777777" w:rsidR="002E5B3B" w:rsidRPr="003F6A45" w:rsidRDefault="002E5B3B" w:rsidP="0082672B">
            <w:pPr>
              <w:spacing w:after="0"/>
              <w:rPr>
                <w:rFonts w:ascii="Times New Roman" w:hAnsi="Times New Roman"/>
                <w:sz w:val="24"/>
                <w:szCs w:val="24"/>
              </w:rPr>
            </w:pPr>
            <w:r w:rsidRPr="003F6A45">
              <w:rPr>
                <w:rFonts w:ascii="Times New Roman" w:hAnsi="Times New Roman"/>
                <w:sz w:val="24"/>
                <w:szCs w:val="24"/>
              </w:rPr>
              <w:t>2</w:t>
            </w:r>
          </w:p>
        </w:tc>
        <w:tc>
          <w:tcPr>
            <w:tcW w:w="6595" w:type="dxa"/>
          </w:tcPr>
          <w:p w14:paraId="2AEC6308" w14:textId="56D42E23" w:rsidR="002E5B3B" w:rsidRPr="003F6A45" w:rsidRDefault="00DF06E9" w:rsidP="0082672B">
            <w:pPr>
              <w:spacing w:after="0"/>
              <w:rPr>
                <w:rFonts w:ascii="Times New Roman" w:hAnsi="Times New Roman"/>
                <w:sz w:val="24"/>
                <w:szCs w:val="24"/>
              </w:rPr>
            </w:pPr>
            <w:r>
              <w:rPr>
                <w:rFonts w:ascii="Times New Roman" w:hAnsi="Times New Roman"/>
                <w:sz w:val="24"/>
                <w:szCs w:val="24"/>
              </w:rPr>
              <w:t>Methodology of the review of the financial statements for research purposes</w:t>
            </w:r>
            <w:r w:rsidR="00860AA8">
              <w:rPr>
                <w:rFonts w:ascii="Times New Roman" w:hAnsi="Times New Roman"/>
                <w:sz w:val="24"/>
                <w:szCs w:val="24"/>
              </w:rPr>
              <w:t xml:space="preserve">, including implementation action plan </w:t>
            </w:r>
            <w:r w:rsidR="002E5B3B" w:rsidRPr="003F6A45">
              <w:rPr>
                <w:rFonts w:ascii="Times New Roman" w:hAnsi="Times New Roman"/>
                <w:sz w:val="24"/>
                <w:szCs w:val="24"/>
              </w:rPr>
              <w:t xml:space="preserve"> </w:t>
            </w:r>
          </w:p>
        </w:tc>
        <w:tc>
          <w:tcPr>
            <w:tcW w:w="2111" w:type="dxa"/>
          </w:tcPr>
          <w:p w14:paraId="499FF62F" w14:textId="03157AC1" w:rsidR="002E5B3B" w:rsidRPr="003F6A45" w:rsidRDefault="00570A48" w:rsidP="0082672B">
            <w:pPr>
              <w:spacing w:after="0"/>
              <w:rPr>
                <w:rFonts w:ascii="Times New Roman" w:hAnsi="Times New Roman"/>
                <w:b/>
                <w:sz w:val="24"/>
                <w:szCs w:val="24"/>
              </w:rPr>
            </w:pPr>
            <w:r>
              <w:rPr>
                <w:rFonts w:ascii="Times New Roman" w:hAnsi="Times New Roman"/>
                <w:b/>
                <w:sz w:val="24"/>
                <w:szCs w:val="24"/>
              </w:rPr>
              <w:t xml:space="preserve">Within </w:t>
            </w:r>
            <w:r w:rsidR="00C66E51">
              <w:rPr>
                <w:rFonts w:ascii="Times New Roman" w:hAnsi="Times New Roman"/>
                <w:b/>
                <w:sz w:val="24"/>
                <w:szCs w:val="24"/>
              </w:rPr>
              <w:t xml:space="preserve">6 months from </w:t>
            </w:r>
            <w:r w:rsidR="003E7495">
              <w:rPr>
                <w:rFonts w:ascii="Times New Roman" w:hAnsi="Times New Roman"/>
                <w:b/>
                <w:sz w:val="24"/>
                <w:szCs w:val="24"/>
              </w:rPr>
              <w:t xml:space="preserve">contract signature </w:t>
            </w:r>
          </w:p>
        </w:tc>
      </w:tr>
      <w:tr w:rsidR="002E5B3B" w:rsidRPr="003F6A45" w14:paraId="63C462E9" w14:textId="77777777" w:rsidTr="002B0079">
        <w:tc>
          <w:tcPr>
            <w:tcW w:w="644" w:type="dxa"/>
          </w:tcPr>
          <w:p w14:paraId="55F3A2A1" w14:textId="77777777" w:rsidR="002E5B3B" w:rsidRPr="003F6A45" w:rsidRDefault="002E5B3B" w:rsidP="0082672B">
            <w:pPr>
              <w:spacing w:after="0"/>
              <w:rPr>
                <w:rFonts w:ascii="Times New Roman" w:hAnsi="Times New Roman"/>
                <w:sz w:val="24"/>
                <w:szCs w:val="24"/>
              </w:rPr>
            </w:pPr>
            <w:r w:rsidRPr="003F6A45">
              <w:rPr>
                <w:rFonts w:ascii="Times New Roman" w:hAnsi="Times New Roman"/>
                <w:sz w:val="24"/>
                <w:szCs w:val="24"/>
              </w:rPr>
              <w:t>3</w:t>
            </w:r>
          </w:p>
        </w:tc>
        <w:tc>
          <w:tcPr>
            <w:tcW w:w="6595" w:type="dxa"/>
          </w:tcPr>
          <w:p w14:paraId="7EB2D1A0" w14:textId="04DF78B1" w:rsidR="002E5B3B" w:rsidRPr="003F6A45" w:rsidRDefault="00C66E51" w:rsidP="0082672B">
            <w:pPr>
              <w:jc w:val="both"/>
              <w:rPr>
                <w:rFonts w:ascii="Times New Roman" w:hAnsi="Times New Roman"/>
                <w:sz w:val="24"/>
                <w:szCs w:val="24"/>
              </w:rPr>
            </w:pPr>
            <w:r>
              <w:rPr>
                <w:rFonts w:ascii="Times New Roman" w:hAnsi="Times New Roman"/>
                <w:sz w:val="24"/>
                <w:szCs w:val="24"/>
              </w:rPr>
              <w:t xml:space="preserve">Assessment report on </w:t>
            </w:r>
            <w:r w:rsidR="00DF06E9">
              <w:rPr>
                <w:rFonts w:ascii="Times New Roman" w:hAnsi="Times New Roman"/>
                <w:sz w:val="24"/>
                <w:szCs w:val="24"/>
              </w:rPr>
              <w:t xml:space="preserve">the </w:t>
            </w:r>
            <w:r>
              <w:rPr>
                <w:rFonts w:ascii="Times New Roman" w:hAnsi="Times New Roman"/>
                <w:sz w:val="24"/>
                <w:szCs w:val="24"/>
              </w:rPr>
              <w:t xml:space="preserve">structure and capacities of the NAC to implement the proposed methodologies and the proposal for an </w:t>
            </w:r>
            <w:r>
              <w:rPr>
                <w:rFonts w:ascii="Times New Roman" w:hAnsi="Times New Roman"/>
                <w:sz w:val="24"/>
                <w:szCs w:val="24"/>
              </w:rPr>
              <w:lastRenderedPageBreak/>
              <w:t xml:space="preserve">improved structure of staff associated with a job description for the new positions or functions. </w:t>
            </w:r>
          </w:p>
        </w:tc>
        <w:tc>
          <w:tcPr>
            <w:tcW w:w="2111" w:type="dxa"/>
          </w:tcPr>
          <w:p w14:paraId="2D20F0D8" w14:textId="11941E66" w:rsidR="002E5B3B" w:rsidRPr="003F6A45" w:rsidRDefault="00570A48" w:rsidP="0082672B">
            <w:pPr>
              <w:spacing w:after="0"/>
              <w:rPr>
                <w:rFonts w:ascii="Times New Roman" w:hAnsi="Times New Roman"/>
                <w:b/>
                <w:sz w:val="24"/>
                <w:szCs w:val="24"/>
              </w:rPr>
            </w:pPr>
            <w:r>
              <w:rPr>
                <w:rFonts w:ascii="Times New Roman" w:hAnsi="Times New Roman"/>
                <w:b/>
                <w:sz w:val="24"/>
                <w:szCs w:val="24"/>
              </w:rPr>
              <w:lastRenderedPageBreak/>
              <w:t xml:space="preserve">Within </w:t>
            </w:r>
            <w:r w:rsidR="00C66E51">
              <w:rPr>
                <w:rFonts w:ascii="Times New Roman" w:hAnsi="Times New Roman"/>
                <w:b/>
                <w:sz w:val="24"/>
                <w:szCs w:val="24"/>
              </w:rPr>
              <w:t xml:space="preserve">7 months </w:t>
            </w:r>
            <w:r w:rsidR="003E7495">
              <w:rPr>
                <w:rFonts w:ascii="Times New Roman" w:hAnsi="Times New Roman"/>
                <w:b/>
                <w:sz w:val="24"/>
                <w:szCs w:val="24"/>
              </w:rPr>
              <w:t>from</w:t>
            </w:r>
            <w:r w:rsidR="00275520">
              <w:rPr>
                <w:rFonts w:ascii="Times New Roman" w:hAnsi="Times New Roman"/>
                <w:b/>
                <w:sz w:val="24"/>
                <w:szCs w:val="24"/>
              </w:rPr>
              <w:t xml:space="preserve"> </w:t>
            </w:r>
            <w:r w:rsidR="003E7495">
              <w:rPr>
                <w:rFonts w:ascii="Times New Roman" w:hAnsi="Times New Roman"/>
                <w:b/>
                <w:sz w:val="24"/>
                <w:szCs w:val="24"/>
              </w:rPr>
              <w:t xml:space="preserve">contract signature </w:t>
            </w:r>
          </w:p>
        </w:tc>
      </w:tr>
      <w:tr w:rsidR="002E5B3B" w:rsidRPr="003F6A45" w14:paraId="55C8BB48" w14:textId="77777777" w:rsidTr="002B0079">
        <w:tc>
          <w:tcPr>
            <w:tcW w:w="644" w:type="dxa"/>
          </w:tcPr>
          <w:p w14:paraId="001379B0" w14:textId="77777777" w:rsidR="002E5B3B" w:rsidRPr="003F6A45" w:rsidRDefault="002E5B3B" w:rsidP="0082672B">
            <w:pPr>
              <w:spacing w:after="0"/>
              <w:rPr>
                <w:rFonts w:ascii="Times New Roman" w:hAnsi="Times New Roman"/>
                <w:sz w:val="24"/>
                <w:szCs w:val="24"/>
              </w:rPr>
            </w:pPr>
            <w:r w:rsidRPr="003F6A45">
              <w:rPr>
                <w:rFonts w:ascii="Times New Roman" w:hAnsi="Times New Roman"/>
                <w:sz w:val="24"/>
                <w:szCs w:val="24"/>
              </w:rPr>
              <w:lastRenderedPageBreak/>
              <w:t>4</w:t>
            </w:r>
          </w:p>
        </w:tc>
        <w:tc>
          <w:tcPr>
            <w:tcW w:w="6595" w:type="dxa"/>
          </w:tcPr>
          <w:p w14:paraId="062FFDC7" w14:textId="3AB8B0E1" w:rsidR="002E5B3B" w:rsidRPr="003F6A45" w:rsidRDefault="00C66E51" w:rsidP="0082672B">
            <w:pPr>
              <w:spacing w:after="0"/>
              <w:rPr>
                <w:rFonts w:ascii="Times New Roman" w:hAnsi="Times New Roman"/>
                <w:sz w:val="24"/>
                <w:szCs w:val="24"/>
              </w:rPr>
            </w:pPr>
            <w:r>
              <w:rPr>
                <w:rFonts w:ascii="Times New Roman" w:hAnsi="Times New Roman"/>
                <w:sz w:val="24"/>
                <w:szCs w:val="24"/>
              </w:rPr>
              <w:t>Two 1</w:t>
            </w:r>
            <w:r w:rsidR="006923DB">
              <w:rPr>
                <w:rFonts w:ascii="Times New Roman" w:hAnsi="Times New Roman"/>
                <w:sz w:val="24"/>
                <w:szCs w:val="24"/>
              </w:rPr>
              <w:t>-</w:t>
            </w:r>
            <w:r>
              <w:rPr>
                <w:rFonts w:ascii="Times New Roman" w:hAnsi="Times New Roman"/>
                <w:sz w:val="24"/>
                <w:szCs w:val="24"/>
              </w:rPr>
              <w:t>day workshops</w:t>
            </w:r>
            <w:r w:rsidR="006923DB">
              <w:rPr>
                <w:rFonts w:ascii="Times New Roman" w:hAnsi="Times New Roman"/>
                <w:sz w:val="24"/>
                <w:szCs w:val="24"/>
              </w:rPr>
              <w:t xml:space="preserve"> (</w:t>
            </w:r>
            <w:r w:rsidR="000D15BB">
              <w:rPr>
                <w:rFonts w:ascii="Times New Roman" w:hAnsi="Times New Roman"/>
                <w:sz w:val="24"/>
                <w:szCs w:val="24"/>
              </w:rPr>
              <w:t>or at least 16 hours)</w:t>
            </w:r>
            <w:r>
              <w:rPr>
                <w:rFonts w:ascii="Times New Roman" w:hAnsi="Times New Roman"/>
                <w:sz w:val="24"/>
                <w:szCs w:val="24"/>
              </w:rPr>
              <w:t xml:space="preserve"> organized with NAC members and staff respectively on the draft research methodology and draft review of financial statement methodology and two 1</w:t>
            </w:r>
            <w:r w:rsidR="006923DB">
              <w:rPr>
                <w:rFonts w:ascii="Times New Roman" w:hAnsi="Times New Roman"/>
                <w:sz w:val="24"/>
                <w:szCs w:val="24"/>
              </w:rPr>
              <w:t>-</w:t>
            </w:r>
            <w:r>
              <w:rPr>
                <w:rFonts w:ascii="Times New Roman" w:hAnsi="Times New Roman"/>
                <w:sz w:val="24"/>
                <w:szCs w:val="24"/>
              </w:rPr>
              <w:t xml:space="preserve">day workshops </w:t>
            </w:r>
            <w:r w:rsidR="000D15BB" w:rsidRPr="000D15BB">
              <w:rPr>
                <w:rFonts w:ascii="Times New Roman" w:hAnsi="Times New Roman"/>
                <w:sz w:val="24"/>
                <w:szCs w:val="24"/>
              </w:rPr>
              <w:t xml:space="preserve">(or at least 16 hours) </w:t>
            </w:r>
            <w:r>
              <w:rPr>
                <w:rFonts w:ascii="Times New Roman" w:hAnsi="Times New Roman"/>
                <w:sz w:val="24"/>
                <w:szCs w:val="24"/>
              </w:rPr>
              <w:t>for the final versions of both methodologies.</w:t>
            </w:r>
          </w:p>
        </w:tc>
        <w:tc>
          <w:tcPr>
            <w:tcW w:w="2111" w:type="dxa"/>
          </w:tcPr>
          <w:p w14:paraId="7A276E8B" w14:textId="5A6689BE" w:rsidR="002E5B3B" w:rsidRPr="003F6A45" w:rsidRDefault="00C66E51" w:rsidP="0082672B">
            <w:pPr>
              <w:spacing w:after="0"/>
              <w:rPr>
                <w:rFonts w:ascii="Times New Roman" w:hAnsi="Times New Roman"/>
                <w:b/>
                <w:sz w:val="24"/>
                <w:szCs w:val="24"/>
              </w:rPr>
            </w:pPr>
            <w:r>
              <w:rPr>
                <w:rFonts w:ascii="Times New Roman" w:hAnsi="Times New Roman"/>
                <w:b/>
                <w:sz w:val="24"/>
                <w:szCs w:val="24"/>
              </w:rPr>
              <w:t xml:space="preserve">Within 7 months from </w:t>
            </w:r>
            <w:r w:rsidR="003E7495">
              <w:rPr>
                <w:rFonts w:ascii="Times New Roman" w:hAnsi="Times New Roman"/>
                <w:b/>
                <w:sz w:val="24"/>
                <w:szCs w:val="24"/>
              </w:rPr>
              <w:t xml:space="preserve">contract signature </w:t>
            </w:r>
          </w:p>
        </w:tc>
      </w:tr>
      <w:tr w:rsidR="00C66E51" w:rsidRPr="003F6A45" w14:paraId="65C933E8" w14:textId="77777777" w:rsidTr="002B0079">
        <w:tc>
          <w:tcPr>
            <w:tcW w:w="644" w:type="dxa"/>
          </w:tcPr>
          <w:p w14:paraId="36396FF5" w14:textId="51C81BCD" w:rsidR="00C66E51" w:rsidRPr="003F6A45" w:rsidRDefault="00C66E51" w:rsidP="0082672B">
            <w:pPr>
              <w:spacing w:after="0"/>
              <w:rPr>
                <w:rFonts w:ascii="Times New Roman" w:hAnsi="Times New Roman"/>
                <w:sz w:val="24"/>
                <w:szCs w:val="24"/>
              </w:rPr>
            </w:pPr>
            <w:r>
              <w:rPr>
                <w:rFonts w:ascii="Times New Roman" w:hAnsi="Times New Roman"/>
                <w:sz w:val="24"/>
                <w:szCs w:val="24"/>
              </w:rPr>
              <w:t>5</w:t>
            </w:r>
          </w:p>
        </w:tc>
        <w:tc>
          <w:tcPr>
            <w:tcW w:w="6595" w:type="dxa"/>
          </w:tcPr>
          <w:p w14:paraId="5488ED22" w14:textId="31F6D8F0" w:rsidR="00C66E51" w:rsidRDefault="00C66E51" w:rsidP="0082672B">
            <w:pPr>
              <w:spacing w:after="0"/>
              <w:rPr>
                <w:rFonts w:ascii="Times New Roman" w:hAnsi="Times New Roman"/>
                <w:sz w:val="24"/>
                <w:szCs w:val="24"/>
              </w:rPr>
            </w:pPr>
            <w:r>
              <w:rPr>
                <w:rFonts w:ascii="Times New Roman" w:hAnsi="Times New Roman"/>
                <w:sz w:val="24"/>
                <w:szCs w:val="24"/>
              </w:rPr>
              <w:t>Report on the findings of the pilot project on the research methodology</w:t>
            </w:r>
          </w:p>
        </w:tc>
        <w:tc>
          <w:tcPr>
            <w:tcW w:w="2111" w:type="dxa"/>
          </w:tcPr>
          <w:p w14:paraId="23FE171B" w14:textId="2ABF2E58" w:rsidR="00C66E51" w:rsidRPr="003F6A45" w:rsidRDefault="00570A48" w:rsidP="0082672B">
            <w:pPr>
              <w:spacing w:after="0"/>
              <w:rPr>
                <w:rFonts w:ascii="Times New Roman" w:hAnsi="Times New Roman"/>
                <w:b/>
                <w:sz w:val="24"/>
                <w:szCs w:val="24"/>
              </w:rPr>
            </w:pPr>
            <w:r>
              <w:rPr>
                <w:rFonts w:ascii="Times New Roman" w:hAnsi="Times New Roman"/>
                <w:b/>
                <w:sz w:val="24"/>
                <w:szCs w:val="24"/>
              </w:rPr>
              <w:t xml:space="preserve">Within </w:t>
            </w:r>
            <w:r w:rsidR="00C66E51">
              <w:rPr>
                <w:rFonts w:ascii="Times New Roman" w:hAnsi="Times New Roman"/>
                <w:b/>
                <w:sz w:val="24"/>
                <w:szCs w:val="24"/>
              </w:rPr>
              <w:t xml:space="preserve">14 months from </w:t>
            </w:r>
            <w:r w:rsidR="003E7495">
              <w:rPr>
                <w:rFonts w:ascii="Times New Roman" w:hAnsi="Times New Roman"/>
                <w:b/>
                <w:sz w:val="24"/>
                <w:szCs w:val="24"/>
              </w:rPr>
              <w:t xml:space="preserve">contract signature </w:t>
            </w:r>
          </w:p>
        </w:tc>
      </w:tr>
      <w:tr w:rsidR="00C66E51" w:rsidRPr="003F6A45" w14:paraId="4398BB5D" w14:textId="77777777" w:rsidTr="002B0079">
        <w:tc>
          <w:tcPr>
            <w:tcW w:w="644" w:type="dxa"/>
          </w:tcPr>
          <w:p w14:paraId="72D947F6" w14:textId="65ED444E" w:rsidR="00C66E51" w:rsidRPr="003F6A45" w:rsidRDefault="00C66E51" w:rsidP="0082672B">
            <w:pPr>
              <w:spacing w:after="0"/>
              <w:rPr>
                <w:rFonts w:ascii="Times New Roman" w:hAnsi="Times New Roman"/>
                <w:sz w:val="24"/>
                <w:szCs w:val="24"/>
              </w:rPr>
            </w:pPr>
            <w:r>
              <w:rPr>
                <w:rFonts w:ascii="Times New Roman" w:hAnsi="Times New Roman"/>
                <w:sz w:val="24"/>
                <w:szCs w:val="24"/>
              </w:rPr>
              <w:t>6</w:t>
            </w:r>
          </w:p>
        </w:tc>
        <w:tc>
          <w:tcPr>
            <w:tcW w:w="6595" w:type="dxa"/>
          </w:tcPr>
          <w:p w14:paraId="14AA8BCD" w14:textId="5D440B92" w:rsidR="00C66E51" w:rsidRDefault="00C66E51" w:rsidP="0082672B">
            <w:pPr>
              <w:spacing w:after="0"/>
              <w:rPr>
                <w:rFonts w:ascii="Times New Roman" w:hAnsi="Times New Roman"/>
                <w:sz w:val="24"/>
                <w:szCs w:val="24"/>
              </w:rPr>
            </w:pPr>
            <w:r>
              <w:rPr>
                <w:rFonts w:ascii="Times New Roman" w:hAnsi="Times New Roman"/>
                <w:sz w:val="24"/>
                <w:szCs w:val="24"/>
              </w:rPr>
              <w:t xml:space="preserve">Review reports for </w:t>
            </w:r>
            <w:r w:rsidR="00DC4E73">
              <w:rPr>
                <w:rFonts w:ascii="Times New Roman" w:hAnsi="Times New Roman"/>
                <w:sz w:val="24"/>
                <w:szCs w:val="24"/>
              </w:rPr>
              <w:t xml:space="preserve">at least </w:t>
            </w:r>
            <w:r>
              <w:rPr>
                <w:rFonts w:ascii="Times New Roman" w:hAnsi="Times New Roman"/>
                <w:sz w:val="24"/>
                <w:szCs w:val="24"/>
              </w:rPr>
              <w:t>7</w:t>
            </w:r>
            <w:r w:rsidR="000D15BB">
              <w:rPr>
                <w:rFonts w:ascii="Times New Roman" w:hAnsi="Times New Roman"/>
                <w:sz w:val="24"/>
                <w:szCs w:val="24"/>
              </w:rPr>
              <w:t xml:space="preserve"> </w:t>
            </w:r>
            <w:r>
              <w:rPr>
                <w:rFonts w:ascii="Times New Roman" w:hAnsi="Times New Roman"/>
                <w:sz w:val="24"/>
                <w:szCs w:val="24"/>
              </w:rPr>
              <w:t>(seven) sets of financial statements</w:t>
            </w:r>
          </w:p>
        </w:tc>
        <w:tc>
          <w:tcPr>
            <w:tcW w:w="2111" w:type="dxa"/>
          </w:tcPr>
          <w:p w14:paraId="6DC1EC72" w14:textId="0361A42A" w:rsidR="00C66E51" w:rsidRPr="003F6A45" w:rsidRDefault="00570A48" w:rsidP="0082672B">
            <w:pPr>
              <w:spacing w:after="0"/>
              <w:rPr>
                <w:rFonts w:ascii="Times New Roman" w:hAnsi="Times New Roman"/>
                <w:b/>
                <w:sz w:val="24"/>
                <w:szCs w:val="24"/>
              </w:rPr>
            </w:pPr>
            <w:r>
              <w:rPr>
                <w:rFonts w:ascii="Times New Roman" w:hAnsi="Times New Roman"/>
                <w:b/>
                <w:sz w:val="24"/>
                <w:szCs w:val="24"/>
              </w:rPr>
              <w:t xml:space="preserve">Within </w:t>
            </w:r>
            <w:r w:rsidR="00C66E51">
              <w:rPr>
                <w:rFonts w:ascii="Times New Roman" w:hAnsi="Times New Roman"/>
                <w:b/>
                <w:sz w:val="24"/>
                <w:szCs w:val="24"/>
              </w:rPr>
              <w:t xml:space="preserve">16 months from </w:t>
            </w:r>
            <w:r w:rsidR="003E7495">
              <w:rPr>
                <w:rFonts w:ascii="Times New Roman" w:hAnsi="Times New Roman"/>
                <w:b/>
                <w:sz w:val="24"/>
                <w:szCs w:val="24"/>
              </w:rPr>
              <w:t xml:space="preserve">contract signature </w:t>
            </w:r>
          </w:p>
        </w:tc>
      </w:tr>
      <w:tr w:rsidR="00C66E51" w:rsidRPr="003F6A45" w14:paraId="752CC680" w14:textId="77777777" w:rsidTr="002B0079">
        <w:tc>
          <w:tcPr>
            <w:tcW w:w="644" w:type="dxa"/>
          </w:tcPr>
          <w:p w14:paraId="5558B2A1" w14:textId="015EF65C" w:rsidR="00C66E51" w:rsidRPr="003F6A45" w:rsidRDefault="00C66E51" w:rsidP="0082672B">
            <w:pPr>
              <w:spacing w:after="0"/>
              <w:rPr>
                <w:rFonts w:ascii="Times New Roman" w:hAnsi="Times New Roman"/>
                <w:sz w:val="24"/>
                <w:szCs w:val="24"/>
              </w:rPr>
            </w:pPr>
            <w:r>
              <w:rPr>
                <w:rFonts w:ascii="Times New Roman" w:hAnsi="Times New Roman"/>
                <w:sz w:val="24"/>
                <w:szCs w:val="24"/>
              </w:rPr>
              <w:t>7</w:t>
            </w:r>
          </w:p>
        </w:tc>
        <w:tc>
          <w:tcPr>
            <w:tcW w:w="6595" w:type="dxa"/>
          </w:tcPr>
          <w:p w14:paraId="46C9AE25" w14:textId="52ED3264" w:rsidR="00C66E51" w:rsidRDefault="00C66E51" w:rsidP="0082672B">
            <w:pPr>
              <w:spacing w:after="0"/>
              <w:rPr>
                <w:rFonts w:ascii="Times New Roman" w:hAnsi="Times New Roman"/>
                <w:sz w:val="24"/>
                <w:szCs w:val="24"/>
              </w:rPr>
            </w:pPr>
            <w:r>
              <w:rPr>
                <w:rFonts w:ascii="Times New Roman" w:hAnsi="Times New Roman"/>
                <w:sz w:val="24"/>
                <w:szCs w:val="24"/>
              </w:rPr>
              <w:t xml:space="preserve">Organization of an exchange visit in a standard setter body </w:t>
            </w:r>
            <w:r w:rsidR="00570A48">
              <w:rPr>
                <w:rFonts w:ascii="Times New Roman" w:hAnsi="Times New Roman"/>
                <w:sz w:val="24"/>
                <w:szCs w:val="24"/>
              </w:rPr>
              <w:t>(for 7 persons *4 days)</w:t>
            </w:r>
          </w:p>
        </w:tc>
        <w:tc>
          <w:tcPr>
            <w:tcW w:w="2111" w:type="dxa"/>
          </w:tcPr>
          <w:p w14:paraId="422A8B3F" w14:textId="53E38997" w:rsidR="00C66E51" w:rsidRPr="003F6A45" w:rsidRDefault="00570A48" w:rsidP="0082672B">
            <w:pPr>
              <w:spacing w:after="0"/>
              <w:rPr>
                <w:rFonts w:ascii="Times New Roman" w:hAnsi="Times New Roman"/>
                <w:b/>
                <w:sz w:val="24"/>
                <w:szCs w:val="24"/>
              </w:rPr>
            </w:pPr>
            <w:r>
              <w:rPr>
                <w:rFonts w:ascii="Times New Roman" w:hAnsi="Times New Roman"/>
                <w:b/>
                <w:sz w:val="24"/>
                <w:szCs w:val="24"/>
              </w:rPr>
              <w:t xml:space="preserve">Within 18 months from </w:t>
            </w:r>
            <w:r w:rsidR="003E7495">
              <w:rPr>
                <w:rFonts w:ascii="Times New Roman" w:hAnsi="Times New Roman"/>
                <w:b/>
                <w:sz w:val="24"/>
                <w:szCs w:val="24"/>
              </w:rPr>
              <w:t xml:space="preserve">contract signature </w:t>
            </w:r>
          </w:p>
        </w:tc>
      </w:tr>
      <w:tr w:rsidR="00C94316" w:rsidRPr="003F6A45" w14:paraId="388DE3A0" w14:textId="77777777" w:rsidTr="002B0079">
        <w:tc>
          <w:tcPr>
            <w:tcW w:w="644" w:type="dxa"/>
          </w:tcPr>
          <w:p w14:paraId="455C7B67" w14:textId="11E1E030" w:rsidR="00C94316" w:rsidRDefault="00C94316" w:rsidP="0082672B">
            <w:pPr>
              <w:spacing w:after="0"/>
              <w:rPr>
                <w:rFonts w:ascii="Times New Roman" w:hAnsi="Times New Roman"/>
                <w:sz w:val="24"/>
                <w:szCs w:val="24"/>
              </w:rPr>
            </w:pPr>
            <w:r>
              <w:rPr>
                <w:rFonts w:ascii="Times New Roman" w:hAnsi="Times New Roman"/>
                <w:sz w:val="24"/>
                <w:szCs w:val="24"/>
              </w:rPr>
              <w:t>3.2</w:t>
            </w:r>
          </w:p>
        </w:tc>
        <w:tc>
          <w:tcPr>
            <w:tcW w:w="6595" w:type="dxa"/>
          </w:tcPr>
          <w:p w14:paraId="50EA90C0" w14:textId="0B4D28F2" w:rsidR="00C94316" w:rsidRPr="00C94316" w:rsidRDefault="00C94316" w:rsidP="0082672B">
            <w:pPr>
              <w:rPr>
                <w:rFonts w:ascii="Times New Roman" w:hAnsi="Times New Roman"/>
                <w:b/>
                <w:bCs/>
                <w:color w:val="000000"/>
              </w:rPr>
            </w:pPr>
            <w:r w:rsidRPr="00C94316">
              <w:rPr>
                <w:rFonts w:ascii="Times New Roman" w:hAnsi="Times New Roman"/>
                <w:b/>
                <w:sz w:val="24"/>
                <w:szCs w:val="24"/>
              </w:rPr>
              <w:t xml:space="preserve">Deliverables under activity 3.2: - </w:t>
            </w:r>
            <w:r w:rsidRPr="00C94316">
              <w:rPr>
                <w:rFonts w:ascii="Times New Roman" w:hAnsi="Times New Roman"/>
                <w:b/>
                <w:bCs/>
                <w:color w:val="000000"/>
              </w:rPr>
              <w:t>Consultancy Services for AFSA on the introduction of IFRS 17</w:t>
            </w:r>
            <w:r>
              <w:rPr>
                <w:rFonts w:ascii="Times New Roman" w:hAnsi="Times New Roman"/>
                <w:b/>
                <w:bCs/>
                <w:color w:val="000000"/>
              </w:rPr>
              <w:t xml:space="preserve"> and review of the financial statements</w:t>
            </w:r>
          </w:p>
          <w:p w14:paraId="07F6E72D" w14:textId="73244150" w:rsidR="00C94316" w:rsidRDefault="00C94316" w:rsidP="0082672B">
            <w:pPr>
              <w:spacing w:after="0"/>
              <w:rPr>
                <w:rFonts w:ascii="Times New Roman" w:hAnsi="Times New Roman"/>
                <w:sz w:val="24"/>
                <w:szCs w:val="24"/>
              </w:rPr>
            </w:pPr>
          </w:p>
        </w:tc>
        <w:tc>
          <w:tcPr>
            <w:tcW w:w="2111" w:type="dxa"/>
          </w:tcPr>
          <w:p w14:paraId="260F6B23" w14:textId="77777777" w:rsidR="00C94316" w:rsidRDefault="00C94316" w:rsidP="0082672B">
            <w:pPr>
              <w:spacing w:after="0"/>
              <w:rPr>
                <w:rFonts w:ascii="Times New Roman" w:hAnsi="Times New Roman"/>
                <w:b/>
                <w:sz w:val="24"/>
                <w:szCs w:val="24"/>
              </w:rPr>
            </w:pPr>
          </w:p>
        </w:tc>
      </w:tr>
      <w:tr w:rsidR="00C94316" w:rsidRPr="003F6A45" w14:paraId="1075C3A1" w14:textId="77777777" w:rsidTr="002B0079">
        <w:tc>
          <w:tcPr>
            <w:tcW w:w="644" w:type="dxa"/>
          </w:tcPr>
          <w:p w14:paraId="366236A9" w14:textId="0EDF6271" w:rsidR="00C94316" w:rsidRDefault="00C94316" w:rsidP="0082672B">
            <w:pPr>
              <w:spacing w:after="0"/>
              <w:rPr>
                <w:rFonts w:ascii="Times New Roman" w:hAnsi="Times New Roman"/>
                <w:sz w:val="24"/>
                <w:szCs w:val="24"/>
              </w:rPr>
            </w:pPr>
            <w:r>
              <w:rPr>
                <w:rFonts w:ascii="Times New Roman" w:hAnsi="Times New Roman"/>
                <w:sz w:val="24"/>
                <w:szCs w:val="24"/>
              </w:rPr>
              <w:t>1</w:t>
            </w:r>
          </w:p>
        </w:tc>
        <w:tc>
          <w:tcPr>
            <w:tcW w:w="6595" w:type="dxa"/>
          </w:tcPr>
          <w:p w14:paraId="189A1213" w14:textId="5B2257BF" w:rsidR="00C94316" w:rsidRPr="00C94316" w:rsidRDefault="00C94316" w:rsidP="0082672B">
            <w:pPr>
              <w:jc w:val="both"/>
              <w:rPr>
                <w:rFonts w:ascii="Times New Roman" w:hAnsi="Times New Roman"/>
                <w:i/>
                <w:iCs/>
                <w:color w:val="000000"/>
              </w:rPr>
            </w:pPr>
            <w:r w:rsidRPr="00275520">
              <w:rPr>
                <w:rFonts w:ascii="Times New Roman" w:hAnsi="Times New Roman"/>
                <w:sz w:val="24"/>
                <w:szCs w:val="24"/>
              </w:rPr>
              <w:t>36 hours of on the classroom training on IFRS 17 for AFSA staff</w:t>
            </w:r>
            <w:r w:rsidR="005B7001" w:rsidRPr="00275520">
              <w:rPr>
                <w:rFonts w:ascii="Times New Roman" w:hAnsi="Times New Roman"/>
                <w:sz w:val="24"/>
                <w:szCs w:val="24"/>
              </w:rPr>
              <w:t xml:space="preserve"> (at least </w:t>
            </w:r>
            <w:r w:rsidR="008F5BC9" w:rsidRPr="00275520">
              <w:rPr>
                <w:rFonts w:ascii="Times New Roman" w:hAnsi="Times New Roman"/>
                <w:sz w:val="24"/>
                <w:szCs w:val="24"/>
              </w:rPr>
              <w:t>10</w:t>
            </w:r>
            <w:r w:rsidR="005B7001" w:rsidRPr="00275520">
              <w:rPr>
                <w:rFonts w:ascii="Times New Roman" w:hAnsi="Times New Roman"/>
                <w:sz w:val="24"/>
                <w:szCs w:val="24"/>
              </w:rPr>
              <w:t xml:space="preserve"> participants)</w:t>
            </w:r>
          </w:p>
          <w:p w14:paraId="70D7BA72" w14:textId="77777777" w:rsidR="00C94316" w:rsidRDefault="00C94316" w:rsidP="0082672B">
            <w:pPr>
              <w:spacing w:after="0"/>
              <w:rPr>
                <w:rFonts w:ascii="Times New Roman" w:hAnsi="Times New Roman"/>
                <w:sz w:val="24"/>
                <w:szCs w:val="24"/>
              </w:rPr>
            </w:pPr>
          </w:p>
        </w:tc>
        <w:tc>
          <w:tcPr>
            <w:tcW w:w="2111" w:type="dxa"/>
          </w:tcPr>
          <w:p w14:paraId="1F18AB71" w14:textId="4F8D17D2" w:rsidR="00C94316" w:rsidRDefault="00C94316" w:rsidP="0082672B">
            <w:pPr>
              <w:spacing w:after="0"/>
              <w:rPr>
                <w:rFonts w:ascii="Times New Roman" w:hAnsi="Times New Roman"/>
                <w:b/>
                <w:sz w:val="24"/>
                <w:szCs w:val="24"/>
              </w:rPr>
            </w:pPr>
            <w:r>
              <w:rPr>
                <w:rFonts w:ascii="Times New Roman" w:hAnsi="Times New Roman"/>
                <w:b/>
                <w:sz w:val="24"/>
                <w:szCs w:val="24"/>
              </w:rPr>
              <w:t xml:space="preserve">Within 5 months from </w:t>
            </w:r>
            <w:r w:rsidR="003E7495">
              <w:rPr>
                <w:rFonts w:ascii="Times New Roman" w:hAnsi="Times New Roman"/>
                <w:b/>
                <w:sz w:val="24"/>
                <w:szCs w:val="24"/>
              </w:rPr>
              <w:t xml:space="preserve">contract signature </w:t>
            </w:r>
          </w:p>
        </w:tc>
      </w:tr>
      <w:tr w:rsidR="00C94316" w:rsidRPr="003F6A45" w14:paraId="474C2D3F" w14:textId="77777777" w:rsidTr="002B0079">
        <w:tc>
          <w:tcPr>
            <w:tcW w:w="644" w:type="dxa"/>
          </w:tcPr>
          <w:p w14:paraId="10DEA619" w14:textId="2AD0484B" w:rsidR="00C94316" w:rsidRDefault="00C94316" w:rsidP="0082672B">
            <w:pPr>
              <w:spacing w:after="0"/>
              <w:rPr>
                <w:rFonts w:ascii="Times New Roman" w:hAnsi="Times New Roman"/>
                <w:sz w:val="24"/>
                <w:szCs w:val="24"/>
              </w:rPr>
            </w:pPr>
            <w:r>
              <w:rPr>
                <w:rFonts w:ascii="Times New Roman" w:hAnsi="Times New Roman"/>
                <w:sz w:val="24"/>
                <w:szCs w:val="24"/>
              </w:rPr>
              <w:t>2</w:t>
            </w:r>
          </w:p>
        </w:tc>
        <w:tc>
          <w:tcPr>
            <w:tcW w:w="6595" w:type="dxa"/>
          </w:tcPr>
          <w:p w14:paraId="0ACFDA69" w14:textId="3432E1F1" w:rsidR="00C94316" w:rsidRPr="00C94316" w:rsidRDefault="00C94316" w:rsidP="0082672B">
            <w:pPr>
              <w:jc w:val="both"/>
              <w:rPr>
                <w:rFonts w:ascii="Times New Roman" w:hAnsi="Times New Roman"/>
                <w:color w:val="000000"/>
              </w:rPr>
            </w:pPr>
            <w:r>
              <w:rPr>
                <w:rFonts w:ascii="Times New Roman" w:hAnsi="Times New Roman"/>
                <w:iCs/>
                <w:color w:val="000000"/>
              </w:rPr>
              <w:t>8-10 hours of training in the r</w:t>
            </w:r>
            <w:r w:rsidRPr="00C94316">
              <w:rPr>
                <w:rFonts w:ascii="Times New Roman" w:hAnsi="Times New Roman"/>
                <w:iCs/>
                <w:color w:val="000000"/>
              </w:rPr>
              <w:t>eview of IFRS statements</w:t>
            </w:r>
            <w:r>
              <w:rPr>
                <w:rFonts w:ascii="Times New Roman" w:hAnsi="Times New Roman"/>
                <w:iCs/>
                <w:color w:val="000000"/>
              </w:rPr>
              <w:t xml:space="preserve"> for AFSA staff</w:t>
            </w:r>
            <w:r w:rsidR="005B7001">
              <w:rPr>
                <w:rFonts w:ascii="Times New Roman" w:hAnsi="Times New Roman"/>
                <w:iCs/>
                <w:color w:val="000000"/>
              </w:rPr>
              <w:t xml:space="preserve"> (at least XX participants)</w:t>
            </w:r>
          </w:p>
          <w:p w14:paraId="4896BFCF" w14:textId="77777777" w:rsidR="00C94316" w:rsidRDefault="00C94316" w:rsidP="0082672B">
            <w:pPr>
              <w:spacing w:after="0"/>
              <w:rPr>
                <w:rFonts w:ascii="Times New Roman" w:hAnsi="Times New Roman"/>
                <w:sz w:val="24"/>
                <w:szCs w:val="24"/>
              </w:rPr>
            </w:pPr>
          </w:p>
        </w:tc>
        <w:tc>
          <w:tcPr>
            <w:tcW w:w="2111" w:type="dxa"/>
          </w:tcPr>
          <w:p w14:paraId="5A4940EA" w14:textId="72D7C088" w:rsidR="00C94316" w:rsidRDefault="00C94316" w:rsidP="0082672B">
            <w:pPr>
              <w:spacing w:after="0"/>
              <w:rPr>
                <w:rFonts w:ascii="Times New Roman" w:hAnsi="Times New Roman"/>
                <w:b/>
                <w:sz w:val="24"/>
                <w:szCs w:val="24"/>
              </w:rPr>
            </w:pPr>
            <w:r>
              <w:rPr>
                <w:rFonts w:ascii="Times New Roman" w:hAnsi="Times New Roman"/>
                <w:b/>
                <w:sz w:val="24"/>
                <w:szCs w:val="24"/>
              </w:rPr>
              <w:t xml:space="preserve">Within 7 months from </w:t>
            </w:r>
            <w:r w:rsidR="003E7495">
              <w:rPr>
                <w:rFonts w:ascii="Times New Roman" w:hAnsi="Times New Roman"/>
                <w:b/>
                <w:sz w:val="24"/>
                <w:szCs w:val="24"/>
              </w:rPr>
              <w:t xml:space="preserve">contract signature </w:t>
            </w:r>
          </w:p>
        </w:tc>
      </w:tr>
    </w:tbl>
    <w:p w14:paraId="271F9B77" w14:textId="77777777" w:rsidR="00EF640F" w:rsidRDefault="00EF640F" w:rsidP="003C09E0">
      <w:pPr>
        <w:pStyle w:val="ListParagraph"/>
        <w:spacing w:line="276" w:lineRule="auto"/>
        <w:ind w:left="375"/>
        <w:jc w:val="both"/>
        <w:rPr>
          <w:rFonts w:ascii="Times New Roman" w:hAnsi="Times New Roman"/>
          <w:b/>
          <w:lang w:val="en-US"/>
        </w:rPr>
      </w:pPr>
    </w:p>
    <w:p w14:paraId="63E840B8" w14:textId="4D3F64E6" w:rsidR="005B06FC" w:rsidRDefault="005B06FC" w:rsidP="005B06FC">
      <w:pPr>
        <w:jc w:val="both"/>
        <w:rPr>
          <w:szCs w:val="24"/>
        </w:rPr>
      </w:pPr>
      <w:r>
        <w:rPr>
          <w:rFonts w:ascii="Times New Roman" w:hAnsi="Times New Roman"/>
          <w:sz w:val="24"/>
          <w:szCs w:val="24"/>
        </w:rPr>
        <w:t xml:space="preserve">Reporting and deliverables documents provided by the consultant should be in both Albanian and English language. </w:t>
      </w:r>
    </w:p>
    <w:p w14:paraId="715BD366" w14:textId="77777777" w:rsidR="00EF640F" w:rsidRPr="003F6A45" w:rsidRDefault="00EF640F" w:rsidP="00EF640F">
      <w:pPr>
        <w:pStyle w:val="ListParagraph"/>
        <w:numPr>
          <w:ilvl w:val="0"/>
          <w:numId w:val="5"/>
        </w:numPr>
        <w:spacing w:line="276" w:lineRule="auto"/>
        <w:jc w:val="both"/>
        <w:rPr>
          <w:rFonts w:ascii="Times New Roman" w:hAnsi="Times New Roman"/>
          <w:b/>
          <w:lang w:val="en-US"/>
        </w:rPr>
      </w:pPr>
      <w:r w:rsidRPr="003F6A45">
        <w:rPr>
          <w:rFonts w:ascii="Times New Roman" w:hAnsi="Times New Roman"/>
          <w:b/>
          <w:lang w:val="en-US"/>
        </w:rPr>
        <w:t>Terms</w:t>
      </w:r>
    </w:p>
    <w:p w14:paraId="6AC9E4DE" w14:textId="77777777" w:rsidR="00EF640F" w:rsidRPr="003F6A45" w:rsidRDefault="00EF640F" w:rsidP="00EF640F">
      <w:pPr>
        <w:jc w:val="both"/>
        <w:rPr>
          <w:rFonts w:ascii="Times New Roman" w:hAnsi="Times New Roman"/>
          <w:sz w:val="24"/>
          <w:szCs w:val="24"/>
        </w:rPr>
      </w:pPr>
      <w:r w:rsidRPr="003F6A45">
        <w:rPr>
          <w:rFonts w:ascii="Times New Roman" w:hAnsi="Times New Roman"/>
          <w:sz w:val="24"/>
          <w:szCs w:val="24"/>
        </w:rPr>
        <w:t xml:space="preserve">The assignment is expected to start in </w:t>
      </w:r>
      <w:r>
        <w:rPr>
          <w:rFonts w:ascii="Times New Roman" w:hAnsi="Times New Roman"/>
          <w:sz w:val="24"/>
          <w:szCs w:val="24"/>
        </w:rPr>
        <w:t xml:space="preserve">October 2023. </w:t>
      </w:r>
      <w:r w:rsidRPr="003F6A45">
        <w:rPr>
          <w:rFonts w:ascii="Times New Roman" w:hAnsi="Times New Roman"/>
          <w:sz w:val="24"/>
          <w:szCs w:val="24"/>
        </w:rPr>
        <w:t>The activities described in these TORs are expected to be completed within a period of 1</w:t>
      </w:r>
      <w:r>
        <w:rPr>
          <w:rFonts w:ascii="Times New Roman" w:hAnsi="Times New Roman"/>
          <w:sz w:val="24"/>
          <w:szCs w:val="24"/>
        </w:rPr>
        <w:t>8</w:t>
      </w:r>
      <w:r w:rsidRPr="003F6A45">
        <w:rPr>
          <w:rFonts w:ascii="Times New Roman" w:hAnsi="Times New Roman"/>
          <w:sz w:val="24"/>
          <w:szCs w:val="24"/>
        </w:rPr>
        <w:t xml:space="preserve"> months, following the signing of the consultancy contract. Specifically, the consultant is expected to perform the activities within the deadlines described in the “Deliverables” section.</w:t>
      </w:r>
    </w:p>
    <w:p w14:paraId="5E5DF961" w14:textId="5AA4166E" w:rsidR="00EF640F" w:rsidRPr="003F6A45" w:rsidRDefault="00EF640F" w:rsidP="00EF640F">
      <w:pPr>
        <w:pStyle w:val="ListParagraph"/>
        <w:autoSpaceDE w:val="0"/>
        <w:autoSpaceDN w:val="0"/>
        <w:adjustRightInd w:val="0"/>
        <w:spacing w:line="276" w:lineRule="auto"/>
        <w:ind w:left="0"/>
        <w:jc w:val="both"/>
        <w:rPr>
          <w:rFonts w:ascii="Times New Roman" w:hAnsi="Times New Roman"/>
          <w:lang w:val="en-US"/>
        </w:rPr>
      </w:pPr>
      <w:r w:rsidRPr="003F6A45">
        <w:rPr>
          <w:rFonts w:ascii="Times New Roman" w:hAnsi="Times New Roman"/>
          <w:lang w:val="en-US"/>
        </w:rPr>
        <w:t xml:space="preserve">The expected level of effort is </w:t>
      </w:r>
      <w:r w:rsidRPr="00FB4999">
        <w:rPr>
          <w:rFonts w:ascii="Times New Roman" w:hAnsi="Times New Roman"/>
          <w:lang w:val="en-US"/>
        </w:rPr>
        <w:t>a maximum of 150 man-days spread during the implementation period. Is desired that the International Consultancy company arrange for this assignment a project team comprised of international and local qualified staff.</w:t>
      </w:r>
      <w:r w:rsidRPr="003F6A45">
        <w:rPr>
          <w:rFonts w:ascii="Times New Roman" w:hAnsi="Times New Roman"/>
          <w:lang w:val="en-US"/>
        </w:rPr>
        <w:t xml:space="preserve"> </w:t>
      </w:r>
    </w:p>
    <w:p w14:paraId="5634EB42" w14:textId="77777777" w:rsidR="00EF640F" w:rsidRPr="003F6A45" w:rsidRDefault="00EF640F" w:rsidP="00EF640F">
      <w:pPr>
        <w:jc w:val="both"/>
        <w:rPr>
          <w:rFonts w:ascii="Times New Roman" w:hAnsi="Times New Roman"/>
          <w:sz w:val="24"/>
          <w:szCs w:val="24"/>
        </w:rPr>
      </w:pPr>
      <w:r w:rsidRPr="003F6A45">
        <w:rPr>
          <w:rFonts w:ascii="Times New Roman" w:hAnsi="Times New Roman"/>
          <w:sz w:val="24"/>
          <w:szCs w:val="24"/>
        </w:rPr>
        <w:lastRenderedPageBreak/>
        <w:t>The consultant’s experts are not required to be located all the time in Albania, though it is expected that the core members of the project team of the consultant will</w:t>
      </w:r>
      <w:r>
        <w:rPr>
          <w:rFonts w:ascii="Times New Roman" w:hAnsi="Times New Roman"/>
          <w:sz w:val="24"/>
          <w:szCs w:val="24"/>
        </w:rPr>
        <w:t xml:space="preserve"> visit the country not less than 30 days</w:t>
      </w:r>
      <w:r w:rsidRPr="003F6A45">
        <w:rPr>
          <w:rFonts w:ascii="Times New Roman" w:hAnsi="Times New Roman"/>
          <w:sz w:val="24"/>
          <w:szCs w:val="24"/>
        </w:rPr>
        <w:t xml:space="preserve"> during the implementation period. The timing and frequency of visits will be agreed beforehand with </w:t>
      </w:r>
      <w:r>
        <w:rPr>
          <w:rFonts w:ascii="Times New Roman" w:hAnsi="Times New Roman"/>
          <w:sz w:val="24"/>
          <w:szCs w:val="24"/>
        </w:rPr>
        <w:t>NAC and AFSA.</w:t>
      </w:r>
    </w:p>
    <w:p w14:paraId="402A8948" w14:textId="4D066336" w:rsidR="002E5B3B" w:rsidRPr="003F6A45" w:rsidRDefault="002E5B3B" w:rsidP="0082672B">
      <w:pPr>
        <w:spacing w:after="160"/>
        <w:rPr>
          <w:rFonts w:ascii="Times New Roman" w:hAnsi="Times New Roman"/>
          <w:sz w:val="24"/>
          <w:szCs w:val="24"/>
        </w:rPr>
      </w:pPr>
    </w:p>
    <w:p w14:paraId="08DDFAA3" w14:textId="0BDE9665" w:rsidR="006E4033" w:rsidRPr="00037CAC" w:rsidRDefault="00037CAC" w:rsidP="00037CAC">
      <w:pPr>
        <w:pStyle w:val="ListParagraph"/>
        <w:numPr>
          <w:ilvl w:val="0"/>
          <w:numId w:val="5"/>
        </w:numPr>
        <w:spacing w:line="276" w:lineRule="auto"/>
        <w:jc w:val="both"/>
        <w:rPr>
          <w:rFonts w:ascii="Times New Roman" w:hAnsi="Times New Roman"/>
          <w:lang w:val="en-US"/>
        </w:rPr>
      </w:pPr>
      <w:bookmarkStart w:id="14" w:name="_Toc305707160"/>
      <w:bookmarkStart w:id="15" w:name="_Toc250645858"/>
      <w:bookmarkStart w:id="16" w:name="_Toc250646203"/>
      <w:bookmarkStart w:id="17" w:name="_Toc252901258"/>
      <w:bookmarkStart w:id="18" w:name="_Toc253412023"/>
      <w:bookmarkStart w:id="19" w:name="_Toc257128408"/>
      <w:r w:rsidRPr="00037CAC">
        <w:rPr>
          <w:rFonts w:ascii="Times New Roman" w:hAnsi="Times New Roman"/>
          <w:b/>
          <w:lang w:val="en-US"/>
        </w:rPr>
        <w:t xml:space="preserve"> </w:t>
      </w:r>
      <w:r w:rsidR="006E4033" w:rsidRPr="00037CAC">
        <w:rPr>
          <w:rFonts w:ascii="Times New Roman" w:hAnsi="Times New Roman"/>
          <w:b/>
          <w:lang w:val="en-US"/>
        </w:rPr>
        <w:t>Institutional and organizational arrangements</w:t>
      </w:r>
      <w:bookmarkEnd w:id="14"/>
    </w:p>
    <w:p w14:paraId="753C4CF9" w14:textId="77777777" w:rsidR="00037CAC" w:rsidRPr="00037CAC" w:rsidRDefault="00037CAC" w:rsidP="00037CAC">
      <w:pPr>
        <w:pStyle w:val="ListParagraph"/>
        <w:spacing w:line="276" w:lineRule="auto"/>
        <w:ind w:left="375"/>
        <w:jc w:val="both"/>
        <w:rPr>
          <w:rFonts w:ascii="Times New Roman" w:hAnsi="Times New Roman"/>
          <w:lang w:val="en-US"/>
        </w:rPr>
      </w:pPr>
    </w:p>
    <w:p w14:paraId="73C2F1D6" w14:textId="6C1FA70A" w:rsidR="006E4033" w:rsidRPr="003F6A45" w:rsidRDefault="006E4033" w:rsidP="0082672B">
      <w:pPr>
        <w:jc w:val="both"/>
        <w:rPr>
          <w:rFonts w:ascii="Times New Roman" w:hAnsi="Times New Roman"/>
          <w:sz w:val="24"/>
          <w:szCs w:val="24"/>
        </w:rPr>
      </w:pPr>
      <w:r w:rsidRPr="003F6A45">
        <w:rPr>
          <w:rFonts w:ascii="Times New Roman" w:hAnsi="Times New Roman"/>
          <w:sz w:val="24"/>
          <w:szCs w:val="24"/>
        </w:rPr>
        <w:t xml:space="preserve">The Consultant will report </w:t>
      </w:r>
      <w:r w:rsidR="00A34DD0" w:rsidRPr="003F6A45">
        <w:rPr>
          <w:rFonts w:ascii="Times New Roman" w:hAnsi="Times New Roman"/>
          <w:sz w:val="24"/>
          <w:szCs w:val="24"/>
        </w:rPr>
        <w:t>to the</w:t>
      </w:r>
      <w:r w:rsidRPr="003F6A45">
        <w:rPr>
          <w:rFonts w:ascii="Times New Roman" w:hAnsi="Times New Roman"/>
          <w:sz w:val="24"/>
          <w:szCs w:val="24"/>
        </w:rPr>
        <w:t xml:space="preserve"> </w:t>
      </w:r>
      <w:r w:rsidR="00570A48">
        <w:rPr>
          <w:rFonts w:ascii="Times New Roman" w:hAnsi="Times New Roman"/>
          <w:sz w:val="24"/>
          <w:szCs w:val="24"/>
        </w:rPr>
        <w:t>NAC</w:t>
      </w:r>
      <w:r w:rsidR="00A917DC" w:rsidRPr="003F6A45">
        <w:rPr>
          <w:rFonts w:ascii="Times New Roman" w:hAnsi="Times New Roman"/>
          <w:sz w:val="24"/>
          <w:szCs w:val="24"/>
        </w:rPr>
        <w:t xml:space="preserve"> </w:t>
      </w:r>
      <w:r w:rsidR="00C92BA3" w:rsidRPr="003F6A45">
        <w:rPr>
          <w:rFonts w:ascii="Times New Roman" w:hAnsi="Times New Roman"/>
          <w:sz w:val="24"/>
          <w:szCs w:val="24"/>
        </w:rPr>
        <w:t xml:space="preserve">and to the </w:t>
      </w:r>
      <w:r w:rsidR="00570A48">
        <w:rPr>
          <w:rFonts w:ascii="Times New Roman" w:hAnsi="Times New Roman"/>
          <w:sz w:val="24"/>
          <w:szCs w:val="24"/>
        </w:rPr>
        <w:t>responsible unit in the Ministry of Finance and Economy</w:t>
      </w:r>
      <w:r w:rsidRPr="003F6A45">
        <w:rPr>
          <w:rFonts w:ascii="Times New Roman" w:hAnsi="Times New Roman"/>
          <w:sz w:val="24"/>
          <w:szCs w:val="24"/>
        </w:rPr>
        <w:t>.</w:t>
      </w:r>
      <w:r w:rsidR="00037CAC">
        <w:rPr>
          <w:rFonts w:ascii="Times New Roman" w:hAnsi="Times New Roman"/>
          <w:sz w:val="24"/>
          <w:szCs w:val="24"/>
        </w:rPr>
        <w:t xml:space="preserve"> </w:t>
      </w:r>
      <w:r w:rsidRPr="003F6A45">
        <w:rPr>
          <w:rFonts w:ascii="Times New Roman" w:hAnsi="Times New Roman"/>
          <w:sz w:val="24"/>
          <w:szCs w:val="24"/>
        </w:rPr>
        <w:t xml:space="preserve">During all implementation time the consultant will maintain frequent communication with the local coordinator and </w:t>
      </w:r>
      <w:r w:rsidR="009E5716" w:rsidRPr="003F6A45">
        <w:rPr>
          <w:rFonts w:ascii="Times New Roman" w:hAnsi="Times New Roman"/>
          <w:sz w:val="24"/>
          <w:szCs w:val="24"/>
        </w:rPr>
        <w:t>representatives</w:t>
      </w:r>
      <w:r w:rsidR="00732DC5" w:rsidRPr="003F6A45">
        <w:rPr>
          <w:rFonts w:ascii="Times New Roman" w:hAnsi="Times New Roman"/>
          <w:sz w:val="24"/>
          <w:szCs w:val="24"/>
        </w:rPr>
        <w:t xml:space="preserve"> of all parties </w:t>
      </w:r>
      <w:r w:rsidR="00274199" w:rsidRPr="003F6A45">
        <w:rPr>
          <w:rFonts w:ascii="Times New Roman" w:hAnsi="Times New Roman"/>
          <w:sz w:val="24"/>
          <w:szCs w:val="24"/>
        </w:rPr>
        <w:t>involved.</w:t>
      </w:r>
      <w:r w:rsidR="003536D1">
        <w:rPr>
          <w:rFonts w:ascii="Times New Roman" w:hAnsi="Times New Roman"/>
          <w:sz w:val="24"/>
          <w:szCs w:val="24"/>
        </w:rPr>
        <w:t xml:space="preserve"> </w:t>
      </w:r>
      <w:r w:rsidRPr="003F6A45">
        <w:rPr>
          <w:rFonts w:ascii="Times New Roman" w:hAnsi="Times New Roman"/>
          <w:sz w:val="24"/>
          <w:szCs w:val="24"/>
        </w:rPr>
        <w:t xml:space="preserve">For administrative </w:t>
      </w:r>
      <w:r w:rsidR="00335370" w:rsidRPr="003F6A45">
        <w:rPr>
          <w:rFonts w:ascii="Times New Roman" w:hAnsi="Times New Roman"/>
          <w:sz w:val="24"/>
          <w:szCs w:val="24"/>
        </w:rPr>
        <w:t>matters,</w:t>
      </w:r>
      <w:r w:rsidRPr="003F6A45">
        <w:rPr>
          <w:rFonts w:ascii="Times New Roman" w:hAnsi="Times New Roman"/>
          <w:sz w:val="24"/>
          <w:szCs w:val="24"/>
        </w:rPr>
        <w:t xml:space="preserve"> the consultant will communicate as necessary with CFCU.</w:t>
      </w:r>
    </w:p>
    <w:p w14:paraId="4AB3746B" w14:textId="448618FF" w:rsidR="006E4033" w:rsidRDefault="006E4033" w:rsidP="0082672B">
      <w:pPr>
        <w:jc w:val="both"/>
        <w:rPr>
          <w:rFonts w:ascii="Times New Roman" w:hAnsi="Times New Roman"/>
          <w:sz w:val="24"/>
          <w:szCs w:val="24"/>
        </w:rPr>
      </w:pPr>
      <w:r w:rsidRPr="003F6A45">
        <w:rPr>
          <w:rFonts w:ascii="Times New Roman" w:hAnsi="Times New Roman"/>
          <w:sz w:val="24"/>
          <w:szCs w:val="24"/>
        </w:rPr>
        <w:t xml:space="preserve">The </w:t>
      </w:r>
      <w:r w:rsidR="00781D23" w:rsidRPr="003F6A45">
        <w:rPr>
          <w:rFonts w:ascii="Times New Roman" w:hAnsi="Times New Roman"/>
          <w:sz w:val="24"/>
          <w:szCs w:val="24"/>
        </w:rPr>
        <w:t xml:space="preserve">beneficiaries </w:t>
      </w:r>
      <w:r w:rsidRPr="003F6A45">
        <w:rPr>
          <w:rFonts w:ascii="Times New Roman" w:hAnsi="Times New Roman"/>
          <w:sz w:val="24"/>
          <w:szCs w:val="24"/>
        </w:rPr>
        <w:t>will provide the consultant with facilities, office space, and communication means, as necessary for the performance of the consultancy assignment.</w:t>
      </w:r>
      <w:r w:rsidR="00200097" w:rsidRPr="003F6A45">
        <w:rPr>
          <w:rFonts w:ascii="Times New Roman" w:hAnsi="Times New Roman"/>
          <w:sz w:val="24"/>
          <w:szCs w:val="24"/>
        </w:rPr>
        <w:t xml:space="preserve"> The other facilities to cover the training </w:t>
      </w:r>
      <w:r w:rsidR="00335370" w:rsidRPr="003F6A45">
        <w:rPr>
          <w:rFonts w:ascii="Times New Roman" w:hAnsi="Times New Roman"/>
          <w:sz w:val="24"/>
          <w:szCs w:val="24"/>
        </w:rPr>
        <w:t>activities</w:t>
      </w:r>
      <w:r w:rsidR="00200097" w:rsidRPr="003F6A45">
        <w:rPr>
          <w:rFonts w:ascii="Times New Roman" w:hAnsi="Times New Roman"/>
          <w:sz w:val="24"/>
          <w:szCs w:val="24"/>
        </w:rPr>
        <w:t xml:space="preserve"> are described in the relevant sections. </w:t>
      </w:r>
    </w:p>
    <w:p w14:paraId="6779D2F7" w14:textId="77777777" w:rsidR="00A90A82" w:rsidRPr="003F6A45" w:rsidRDefault="00A90A82" w:rsidP="0082672B">
      <w:pPr>
        <w:jc w:val="both"/>
        <w:rPr>
          <w:rFonts w:ascii="Times New Roman" w:hAnsi="Times New Roman"/>
          <w:sz w:val="24"/>
          <w:szCs w:val="24"/>
        </w:rPr>
      </w:pPr>
    </w:p>
    <w:p w14:paraId="61860CA1" w14:textId="77777777" w:rsidR="006E4033" w:rsidRPr="003F6A45" w:rsidRDefault="006E4033" w:rsidP="00A90A82">
      <w:pPr>
        <w:pStyle w:val="ListParagraph"/>
        <w:numPr>
          <w:ilvl w:val="0"/>
          <w:numId w:val="5"/>
        </w:numPr>
        <w:spacing w:line="276" w:lineRule="auto"/>
        <w:jc w:val="both"/>
        <w:rPr>
          <w:rFonts w:ascii="Times New Roman" w:hAnsi="Times New Roman"/>
          <w:lang w:val="en-US"/>
        </w:rPr>
      </w:pPr>
      <w:bookmarkStart w:id="20" w:name="_Toc305707161"/>
      <w:r w:rsidRPr="003F6A45">
        <w:rPr>
          <w:rFonts w:ascii="Times New Roman" w:hAnsi="Times New Roman"/>
          <w:b/>
          <w:lang w:val="en-US"/>
        </w:rPr>
        <w:t>Qualifications</w:t>
      </w:r>
      <w:bookmarkEnd w:id="20"/>
    </w:p>
    <w:p w14:paraId="58B65EDF" w14:textId="7AC43805" w:rsidR="00570A48" w:rsidRPr="00A90A82" w:rsidRDefault="00570A48" w:rsidP="00A90A82">
      <w:pPr>
        <w:spacing w:before="100" w:beforeAutospacing="1" w:after="100" w:afterAutospacing="1"/>
        <w:rPr>
          <w:rFonts w:ascii="Times New Roman" w:hAnsi="Times New Roman"/>
          <w:sz w:val="24"/>
          <w:szCs w:val="24"/>
        </w:rPr>
      </w:pPr>
      <w:r w:rsidRPr="00A90A82">
        <w:rPr>
          <w:rFonts w:ascii="Times New Roman" w:hAnsi="Times New Roman"/>
          <w:sz w:val="24"/>
          <w:szCs w:val="24"/>
        </w:rPr>
        <w:t xml:space="preserve">The International Consultancy firm/Consortium shall </w:t>
      </w:r>
      <w:r w:rsidR="00C1414B">
        <w:rPr>
          <w:rFonts w:ascii="Times New Roman" w:hAnsi="Times New Roman"/>
          <w:sz w:val="24"/>
          <w:szCs w:val="24"/>
        </w:rPr>
        <w:t xml:space="preserve">meet the following </w:t>
      </w:r>
      <w:r w:rsidR="00900F74">
        <w:rPr>
          <w:rFonts w:ascii="Times New Roman" w:hAnsi="Times New Roman"/>
          <w:sz w:val="24"/>
          <w:szCs w:val="24"/>
        </w:rPr>
        <w:t>qualifications:</w:t>
      </w:r>
    </w:p>
    <w:p w14:paraId="6762726B" w14:textId="40651885" w:rsidR="00570A48" w:rsidRPr="00A90A82" w:rsidRDefault="00570A48" w:rsidP="0082672B">
      <w:pPr>
        <w:pStyle w:val="ListParagraph"/>
        <w:spacing w:before="100" w:beforeAutospacing="1" w:after="100" w:afterAutospacing="1" w:line="276" w:lineRule="auto"/>
        <w:ind w:left="375"/>
        <w:rPr>
          <w:rFonts w:ascii="Times New Roman" w:hAnsi="Times New Roman"/>
          <w:color w:val="000000"/>
          <w:lang w:val="en-US"/>
        </w:rPr>
      </w:pPr>
      <w:r w:rsidRPr="00570A48">
        <w:rPr>
          <w:rFonts w:ascii="Times New Roman" w:hAnsi="Times New Roman"/>
          <w:color w:val="000000"/>
        </w:rPr>
        <w:t>(a) At least 5 years of core experience in accounting and auditing</w:t>
      </w:r>
      <w:r w:rsidR="00A90A82">
        <w:rPr>
          <w:rFonts w:ascii="Times New Roman" w:hAnsi="Times New Roman"/>
          <w:color w:val="000000"/>
          <w:lang w:val="en-US"/>
        </w:rPr>
        <w:t>;</w:t>
      </w:r>
    </w:p>
    <w:p w14:paraId="46CC51CE" w14:textId="07490C3C" w:rsidR="00570A48" w:rsidRPr="00A90A82" w:rsidRDefault="00570A48" w:rsidP="0082672B">
      <w:pPr>
        <w:pStyle w:val="ListParagraph"/>
        <w:spacing w:before="100" w:beforeAutospacing="1" w:after="100" w:afterAutospacing="1" w:line="276" w:lineRule="auto"/>
        <w:ind w:left="375"/>
        <w:rPr>
          <w:rFonts w:ascii="Times New Roman" w:hAnsi="Times New Roman"/>
          <w:color w:val="000000"/>
          <w:lang w:val="en-US"/>
        </w:rPr>
      </w:pPr>
      <w:r w:rsidRPr="00570A48">
        <w:rPr>
          <w:rFonts w:ascii="Times New Roman" w:hAnsi="Times New Roman"/>
          <w:color w:val="000000"/>
        </w:rPr>
        <w:t xml:space="preserve">(b) Previous </w:t>
      </w:r>
      <w:r w:rsidR="00C1414B">
        <w:rPr>
          <w:rFonts w:ascii="Times New Roman" w:hAnsi="Times New Roman"/>
          <w:color w:val="000000"/>
          <w:lang w:val="en-US"/>
        </w:rPr>
        <w:t xml:space="preserve">demonstrated </w:t>
      </w:r>
      <w:r w:rsidRPr="00570A48">
        <w:rPr>
          <w:rFonts w:ascii="Times New Roman" w:hAnsi="Times New Roman"/>
          <w:color w:val="000000"/>
        </w:rPr>
        <w:t>experience with implementation, capacity building, interpretation of the accounting and auditioning standards</w:t>
      </w:r>
      <w:r w:rsidR="00A90A82">
        <w:rPr>
          <w:rFonts w:ascii="Times New Roman" w:hAnsi="Times New Roman"/>
          <w:color w:val="000000"/>
          <w:lang w:val="en-US"/>
        </w:rPr>
        <w:t>;</w:t>
      </w:r>
    </w:p>
    <w:p w14:paraId="766038F1" w14:textId="1B4603BA" w:rsidR="00570A48" w:rsidRDefault="00570A48" w:rsidP="0082672B">
      <w:pPr>
        <w:pStyle w:val="ListParagraph"/>
        <w:spacing w:before="100" w:beforeAutospacing="1" w:after="100" w:afterAutospacing="1" w:line="276" w:lineRule="auto"/>
        <w:ind w:left="375"/>
        <w:rPr>
          <w:rFonts w:ascii="Times New Roman" w:hAnsi="Times New Roman"/>
          <w:color w:val="000000"/>
          <w:lang w:val="en-US"/>
        </w:rPr>
      </w:pPr>
      <w:r w:rsidRPr="00570A48">
        <w:rPr>
          <w:rFonts w:ascii="Times New Roman" w:hAnsi="Times New Roman"/>
          <w:color w:val="000000"/>
        </w:rPr>
        <w:t>(</w:t>
      </w:r>
      <w:r w:rsidR="00EB2BF3">
        <w:rPr>
          <w:rFonts w:ascii="Times New Roman" w:hAnsi="Times New Roman"/>
          <w:color w:val="000000"/>
          <w:lang w:val="en-US"/>
        </w:rPr>
        <w:t>c</w:t>
      </w:r>
      <w:r w:rsidRPr="00570A48">
        <w:rPr>
          <w:rFonts w:ascii="Times New Roman" w:hAnsi="Times New Roman"/>
          <w:color w:val="000000"/>
        </w:rPr>
        <w:t xml:space="preserve">) </w:t>
      </w:r>
      <w:r w:rsidR="00787301">
        <w:rPr>
          <w:rFonts w:ascii="Times New Roman" w:hAnsi="Times New Roman"/>
          <w:color w:val="000000"/>
          <w:lang w:val="en-US"/>
        </w:rPr>
        <w:t>At least 1</w:t>
      </w:r>
      <w:r w:rsidR="008E45CB">
        <w:rPr>
          <w:rFonts w:ascii="Times New Roman" w:hAnsi="Times New Roman"/>
          <w:color w:val="000000"/>
          <w:lang w:val="en-US"/>
        </w:rPr>
        <w:t xml:space="preserve"> </w:t>
      </w:r>
      <w:r w:rsidR="001D1DFC">
        <w:rPr>
          <w:rFonts w:ascii="Times New Roman" w:hAnsi="Times New Roman"/>
          <w:color w:val="000000"/>
          <w:lang w:val="en-US"/>
        </w:rPr>
        <w:t xml:space="preserve">similar contract </w:t>
      </w:r>
      <w:r w:rsidR="001D1DFC" w:rsidRPr="00570A48">
        <w:rPr>
          <w:rFonts w:ascii="Times New Roman" w:hAnsi="Times New Roman"/>
          <w:color w:val="000000"/>
        </w:rPr>
        <w:t xml:space="preserve"> </w:t>
      </w:r>
      <w:r w:rsidRPr="00570A48">
        <w:rPr>
          <w:rFonts w:ascii="Times New Roman" w:hAnsi="Times New Roman"/>
          <w:color w:val="000000"/>
        </w:rPr>
        <w:t xml:space="preserve">in international projects in </w:t>
      </w:r>
      <w:r w:rsidR="00EB2BF3">
        <w:rPr>
          <w:rFonts w:ascii="Times New Roman" w:hAnsi="Times New Roman"/>
          <w:color w:val="000000"/>
          <w:lang w:val="en-US"/>
        </w:rPr>
        <w:t>accounting and auditing</w:t>
      </w:r>
      <w:r w:rsidR="00A90A82">
        <w:rPr>
          <w:rFonts w:ascii="Times New Roman" w:hAnsi="Times New Roman"/>
          <w:color w:val="000000"/>
          <w:lang w:val="en-US"/>
        </w:rPr>
        <w:t xml:space="preserve"> field</w:t>
      </w:r>
      <w:r w:rsidR="00C1414B">
        <w:rPr>
          <w:rFonts w:ascii="Times New Roman" w:hAnsi="Times New Roman"/>
          <w:color w:val="000000"/>
          <w:lang w:val="en-US"/>
        </w:rPr>
        <w:t xml:space="preserve"> implemented during the last 5 years. </w:t>
      </w:r>
    </w:p>
    <w:p w14:paraId="787C43B9" w14:textId="55127947" w:rsidR="00900F74" w:rsidRPr="00EB2BF3" w:rsidRDefault="00900F74" w:rsidP="0082672B">
      <w:pPr>
        <w:pStyle w:val="ListParagraph"/>
        <w:spacing w:before="100" w:beforeAutospacing="1" w:after="100" w:afterAutospacing="1" w:line="276" w:lineRule="auto"/>
        <w:ind w:left="375"/>
        <w:rPr>
          <w:rFonts w:ascii="Times New Roman" w:hAnsi="Times New Roman"/>
          <w:color w:val="000000"/>
          <w:lang w:val="en-US"/>
        </w:rPr>
      </w:pPr>
      <w:r>
        <w:rPr>
          <w:rFonts w:ascii="Times New Roman" w:hAnsi="Times New Roman"/>
          <w:color w:val="000000"/>
          <w:lang w:val="en-US"/>
        </w:rPr>
        <w:t xml:space="preserve">(d) Have </w:t>
      </w:r>
      <w:r w:rsidR="00CA12E2">
        <w:rPr>
          <w:rFonts w:ascii="Times New Roman" w:hAnsi="Times New Roman"/>
          <w:color w:val="000000"/>
          <w:lang w:val="en-US"/>
        </w:rPr>
        <w:t xml:space="preserve">adequate </w:t>
      </w:r>
      <w:r>
        <w:rPr>
          <w:rFonts w:ascii="Times New Roman" w:hAnsi="Times New Roman"/>
          <w:color w:val="000000"/>
          <w:lang w:val="en-US"/>
        </w:rPr>
        <w:t>team members to</w:t>
      </w:r>
      <w:r w:rsidR="00CA12E2">
        <w:rPr>
          <w:rFonts w:ascii="Times New Roman" w:hAnsi="Times New Roman"/>
          <w:color w:val="000000"/>
          <w:lang w:val="en-US"/>
        </w:rPr>
        <w:t xml:space="preserve"> perform the activities under this assignment.</w:t>
      </w:r>
    </w:p>
    <w:p w14:paraId="7A7A2C9B" w14:textId="77777777" w:rsidR="00570A48" w:rsidRPr="00570A48" w:rsidRDefault="00570A48" w:rsidP="0082672B">
      <w:pPr>
        <w:pStyle w:val="ListParagraph"/>
        <w:spacing w:before="100" w:beforeAutospacing="1" w:after="100" w:afterAutospacing="1" w:line="276" w:lineRule="auto"/>
        <w:ind w:left="375"/>
        <w:rPr>
          <w:rFonts w:ascii="Times New Roman" w:hAnsi="Times New Roman"/>
          <w:color w:val="000000"/>
        </w:rPr>
      </w:pPr>
    </w:p>
    <w:p w14:paraId="43A7C16D" w14:textId="78DADEA2" w:rsidR="00EB2BF3" w:rsidRDefault="00570A48" w:rsidP="00275520">
      <w:pPr>
        <w:pStyle w:val="ListParagraph"/>
        <w:spacing w:before="100" w:beforeAutospacing="1" w:after="100" w:afterAutospacing="1" w:line="276" w:lineRule="auto"/>
        <w:ind w:left="375"/>
        <w:jc w:val="both"/>
        <w:rPr>
          <w:rFonts w:ascii="Times New Roman" w:hAnsi="Times New Roman"/>
          <w:color w:val="000000"/>
        </w:rPr>
      </w:pPr>
      <w:r w:rsidRPr="00570A48">
        <w:rPr>
          <w:rFonts w:ascii="Times New Roman" w:hAnsi="Times New Roman"/>
          <w:color w:val="000000"/>
        </w:rPr>
        <w:t xml:space="preserve">The International Consultancy company should arrange a project team comprised </w:t>
      </w:r>
      <w:r w:rsidR="00C1414B">
        <w:rPr>
          <w:rFonts w:ascii="Times New Roman" w:hAnsi="Times New Roman"/>
          <w:color w:val="000000"/>
          <w:lang w:val="en-US"/>
        </w:rPr>
        <w:t xml:space="preserve">at a minimum </w:t>
      </w:r>
      <w:r w:rsidRPr="00570A48">
        <w:rPr>
          <w:rFonts w:ascii="Times New Roman" w:hAnsi="Times New Roman"/>
          <w:color w:val="000000"/>
        </w:rPr>
        <w:t xml:space="preserve">of </w:t>
      </w:r>
      <w:r>
        <w:rPr>
          <w:rFonts w:ascii="Times New Roman" w:hAnsi="Times New Roman"/>
          <w:color w:val="000000"/>
          <w:lang w:val="en-US"/>
        </w:rPr>
        <w:t>2</w:t>
      </w:r>
      <w:r w:rsidR="00EB2BF3">
        <w:rPr>
          <w:rFonts w:ascii="Times New Roman" w:hAnsi="Times New Roman"/>
          <w:color w:val="000000"/>
          <w:lang w:val="en-US"/>
        </w:rPr>
        <w:t xml:space="preserve"> (two)</w:t>
      </w:r>
      <w:r w:rsidRPr="00570A48">
        <w:rPr>
          <w:rFonts w:ascii="Times New Roman" w:hAnsi="Times New Roman"/>
          <w:color w:val="000000"/>
        </w:rPr>
        <w:t xml:space="preserve"> </w:t>
      </w:r>
      <w:r>
        <w:rPr>
          <w:rFonts w:ascii="Times New Roman" w:hAnsi="Times New Roman"/>
          <w:color w:val="000000"/>
          <w:lang w:val="en-US"/>
        </w:rPr>
        <w:t>key</w:t>
      </w:r>
      <w:r w:rsidRPr="00570A48">
        <w:rPr>
          <w:rFonts w:ascii="Times New Roman" w:hAnsi="Times New Roman"/>
          <w:color w:val="000000"/>
        </w:rPr>
        <w:t xml:space="preserve"> exper</w:t>
      </w:r>
      <w:r w:rsidR="00C1414B">
        <w:rPr>
          <w:rFonts w:ascii="Times New Roman" w:hAnsi="Times New Roman"/>
          <w:color w:val="000000"/>
          <w:lang w:val="en-US"/>
        </w:rPr>
        <w:t xml:space="preserve">ts and </w:t>
      </w:r>
      <w:r w:rsidR="00CA12E2">
        <w:rPr>
          <w:rFonts w:ascii="Times New Roman" w:hAnsi="Times New Roman"/>
          <w:color w:val="000000"/>
          <w:lang w:val="en-US"/>
        </w:rPr>
        <w:t>non-key</w:t>
      </w:r>
      <w:r w:rsidR="00C1414B">
        <w:rPr>
          <w:rFonts w:ascii="Times New Roman" w:hAnsi="Times New Roman"/>
          <w:color w:val="000000"/>
          <w:lang w:val="en-US"/>
        </w:rPr>
        <w:t xml:space="preserve"> experts as deemed necessary to implement contract activities.</w:t>
      </w:r>
    </w:p>
    <w:p w14:paraId="221A4A1E" w14:textId="77777777" w:rsidR="00A90A82" w:rsidRDefault="00A90A82" w:rsidP="0082672B">
      <w:pPr>
        <w:pStyle w:val="ListParagraph"/>
        <w:spacing w:before="100" w:beforeAutospacing="1" w:after="100" w:afterAutospacing="1" w:line="276" w:lineRule="auto"/>
        <w:ind w:left="375"/>
        <w:rPr>
          <w:rFonts w:ascii="Times New Roman" w:hAnsi="Times New Roman"/>
          <w:color w:val="000000"/>
          <w:lang w:val="en-US"/>
        </w:rPr>
      </w:pPr>
    </w:p>
    <w:p w14:paraId="64755E60" w14:textId="027E9DE8" w:rsidR="00570A48" w:rsidRPr="00A90A82" w:rsidRDefault="00570A48" w:rsidP="0082672B">
      <w:pPr>
        <w:pStyle w:val="ListParagraph"/>
        <w:spacing w:before="100" w:beforeAutospacing="1" w:after="100" w:afterAutospacing="1" w:line="276" w:lineRule="auto"/>
        <w:ind w:left="375"/>
        <w:rPr>
          <w:rFonts w:ascii="Times New Roman" w:hAnsi="Times New Roman"/>
          <w:color w:val="000000"/>
          <w:lang w:val="en-US"/>
        </w:rPr>
      </w:pPr>
      <w:r w:rsidRPr="00A90A82">
        <w:rPr>
          <w:rFonts w:ascii="Times New Roman" w:hAnsi="Times New Roman"/>
          <w:b/>
          <w:color w:val="000000"/>
          <w:lang w:val="en-US"/>
        </w:rPr>
        <w:t>The key</w:t>
      </w:r>
      <w:r w:rsidRPr="00A90A82">
        <w:rPr>
          <w:rFonts w:ascii="Times New Roman" w:hAnsi="Times New Roman"/>
          <w:b/>
          <w:color w:val="000000"/>
        </w:rPr>
        <w:t xml:space="preserve"> expert</w:t>
      </w:r>
      <w:r w:rsidR="00EB2BF3" w:rsidRPr="00A90A82">
        <w:rPr>
          <w:rFonts w:ascii="Times New Roman" w:hAnsi="Times New Roman"/>
          <w:b/>
          <w:color w:val="000000"/>
          <w:lang w:val="en-US"/>
        </w:rPr>
        <w:t xml:space="preserve"> 1</w:t>
      </w:r>
      <w:r w:rsidR="00EB2BF3" w:rsidRPr="00A90A82">
        <w:rPr>
          <w:rFonts w:ascii="Times New Roman" w:hAnsi="Times New Roman"/>
          <w:b/>
          <w:color w:val="000000"/>
        </w:rPr>
        <w:t>(one</w:t>
      </w:r>
      <w:r w:rsidRPr="00A90A82">
        <w:rPr>
          <w:rFonts w:ascii="Times New Roman" w:hAnsi="Times New Roman"/>
          <w:b/>
          <w:color w:val="000000"/>
        </w:rPr>
        <w:t>)</w:t>
      </w:r>
      <w:r w:rsidR="00EB2BF3">
        <w:rPr>
          <w:rFonts w:ascii="Times New Roman" w:hAnsi="Times New Roman"/>
          <w:color w:val="000000"/>
          <w:lang w:val="en-US"/>
        </w:rPr>
        <w:t xml:space="preserve"> </w:t>
      </w:r>
      <w:r w:rsidRPr="00570A48">
        <w:rPr>
          <w:rFonts w:ascii="Times New Roman" w:hAnsi="Times New Roman"/>
          <w:color w:val="000000"/>
        </w:rPr>
        <w:t>need</w:t>
      </w:r>
      <w:r w:rsidR="00EB2BF3">
        <w:rPr>
          <w:rFonts w:ascii="Times New Roman" w:hAnsi="Times New Roman"/>
          <w:color w:val="000000"/>
          <w:lang w:val="en-US"/>
        </w:rPr>
        <w:t>s</w:t>
      </w:r>
      <w:r w:rsidRPr="00570A48">
        <w:rPr>
          <w:rFonts w:ascii="Times New Roman" w:hAnsi="Times New Roman"/>
          <w:color w:val="000000"/>
        </w:rPr>
        <w:t xml:space="preserve"> to demonstrate these minimum</w:t>
      </w:r>
      <w:r w:rsidR="00C1414B">
        <w:rPr>
          <w:rFonts w:ascii="Times New Roman" w:hAnsi="Times New Roman"/>
          <w:color w:val="000000"/>
          <w:lang w:val="en-US"/>
        </w:rPr>
        <w:t xml:space="preserve"> qualification requirements</w:t>
      </w:r>
      <w:r w:rsidR="00A90A82">
        <w:rPr>
          <w:rFonts w:ascii="Times New Roman" w:hAnsi="Times New Roman"/>
          <w:color w:val="000000"/>
          <w:lang w:val="en-US"/>
        </w:rPr>
        <w:t>:</w:t>
      </w:r>
    </w:p>
    <w:p w14:paraId="04B559ED" w14:textId="05E46DBA" w:rsidR="001D1DFC" w:rsidRDefault="00E44C20" w:rsidP="001D1DFC">
      <w:pPr>
        <w:pStyle w:val="MainParanoChapter"/>
        <w:numPr>
          <w:ilvl w:val="0"/>
          <w:numId w:val="13"/>
        </w:numPr>
        <w:tabs>
          <w:tab w:val="clear" w:pos="720"/>
        </w:tabs>
        <w:spacing w:after="0" w:line="276" w:lineRule="auto"/>
        <w:jc w:val="both"/>
      </w:pPr>
      <w:r w:rsidRPr="0066525D">
        <w:t>MSc/MBA in</w:t>
      </w:r>
      <w:r>
        <w:t xml:space="preserve"> Accounting,</w:t>
      </w:r>
      <w:r w:rsidRPr="0066525D">
        <w:t xml:space="preserve"> Public Management or Administration, Finance, and Public Policy or </w:t>
      </w:r>
      <w:r w:rsidR="00787301" w:rsidRPr="00787301">
        <w:rPr>
          <w:lang w:val="en-US"/>
        </w:rPr>
        <w:t>in other disciplines of economic sciences</w:t>
      </w:r>
      <w:r w:rsidR="00AC74DA">
        <w:rPr>
          <w:lang w:val="en-US"/>
        </w:rPr>
        <w:t xml:space="preserve"> </w:t>
      </w:r>
      <w:proofErr w:type="spellStart"/>
      <w:r w:rsidR="00AC74DA">
        <w:rPr>
          <w:lang w:val="en-US"/>
        </w:rPr>
        <w:t>o</w:t>
      </w:r>
      <w:r>
        <w:t>r</w:t>
      </w:r>
      <w:proofErr w:type="spellEnd"/>
      <w:r w:rsidRPr="00FD7A44">
        <w:t xml:space="preserve"> </w:t>
      </w:r>
      <w:r>
        <w:t>CPA/CA</w:t>
      </w:r>
      <w:r w:rsidR="004B6A94">
        <w:rPr>
          <w:lang w:val="en-US"/>
        </w:rPr>
        <w:t>;</w:t>
      </w:r>
      <w:r w:rsidR="001D1DFC" w:rsidRPr="001D1DFC">
        <w:rPr>
          <w:lang w:val="en-US"/>
        </w:rPr>
        <w:t xml:space="preserve"> </w:t>
      </w:r>
      <w:r w:rsidR="001D1DFC">
        <w:rPr>
          <w:lang w:val="en-US"/>
        </w:rPr>
        <w:t xml:space="preserve">A </w:t>
      </w:r>
      <w:r w:rsidR="001D1DFC" w:rsidRPr="0066525D">
        <w:t>PhD</w:t>
      </w:r>
      <w:r w:rsidR="001D1DFC">
        <w:t xml:space="preserve"> </w:t>
      </w:r>
      <w:r w:rsidR="001D1DFC">
        <w:rPr>
          <w:lang w:val="en-US"/>
        </w:rPr>
        <w:t xml:space="preserve">title </w:t>
      </w:r>
      <w:r w:rsidR="001D1DFC">
        <w:t xml:space="preserve">would be </w:t>
      </w:r>
      <w:r w:rsidR="001D1DFC">
        <w:rPr>
          <w:lang w:val="en-US"/>
        </w:rPr>
        <w:t xml:space="preserve">considered </w:t>
      </w:r>
      <w:r w:rsidR="001D1DFC">
        <w:t xml:space="preserve">an </w:t>
      </w:r>
      <w:r w:rsidR="001D1DFC">
        <w:rPr>
          <w:lang w:val="en-US"/>
        </w:rPr>
        <w:t>asset</w:t>
      </w:r>
      <w:r w:rsidR="00275520">
        <w:rPr>
          <w:lang w:val="en-US"/>
        </w:rPr>
        <w:t>.</w:t>
      </w:r>
    </w:p>
    <w:p w14:paraId="05B26737" w14:textId="1A56A3BF" w:rsidR="00570A48" w:rsidRPr="00E44C20" w:rsidRDefault="009F7157" w:rsidP="0082672B">
      <w:pPr>
        <w:pStyle w:val="MainParanoChapter"/>
        <w:numPr>
          <w:ilvl w:val="0"/>
          <w:numId w:val="13"/>
        </w:numPr>
        <w:tabs>
          <w:tab w:val="clear" w:pos="720"/>
        </w:tabs>
        <w:spacing w:after="0" w:line="276" w:lineRule="auto"/>
        <w:jc w:val="both"/>
      </w:pPr>
      <w:r>
        <w:rPr>
          <w:color w:val="000000"/>
          <w:lang w:val="en-US"/>
        </w:rPr>
        <w:t>At least</w:t>
      </w:r>
      <w:r w:rsidR="00570A48" w:rsidRPr="00E44C20">
        <w:rPr>
          <w:color w:val="000000"/>
        </w:rPr>
        <w:t xml:space="preserve"> 10 years professional experience in</w:t>
      </w:r>
      <w:r w:rsidR="00570A48" w:rsidRPr="00E44C20">
        <w:rPr>
          <w:color w:val="000000"/>
          <w:lang w:val="en-US"/>
        </w:rPr>
        <w:t xml:space="preserve"> </w:t>
      </w:r>
      <w:r>
        <w:rPr>
          <w:color w:val="000000"/>
          <w:lang w:val="en-US"/>
        </w:rPr>
        <w:t>corporate financial reporting</w:t>
      </w:r>
      <w:r w:rsidRPr="00E44C20">
        <w:rPr>
          <w:color w:val="000000"/>
        </w:rPr>
        <w:t xml:space="preserve"> </w:t>
      </w:r>
      <w:r w:rsidR="006720FB">
        <w:rPr>
          <w:color w:val="000000"/>
          <w:lang w:val="en-US"/>
        </w:rPr>
        <w:t xml:space="preserve">in </w:t>
      </w:r>
      <w:r w:rsidR="00570A48" w:rsidRPr="00E44C20">
        <w:rPr>
          <w:color w:val="000000"/>
        </w:rPr>
        <w:t xml:space="preserve">an EU </w:t>
      </w:r>
      <w:r w:rsidR="00F25E7F">
        <w:rPr>
          <w:color w:val="000000"/>
          <w:lang w:val="en-US"/>
        </w:rPr>
        <w:t>Member States</w:t>
      </w:r>
      <w:r w:rsidR="00275520">
        <w:rPr>
          <w:color w:val="000000"/>
          <w:lang w:val="en-US"/>
        </w:rPr>
        <w:t>.</w:t>
      </w:r>
    </w:p>
    <w:p w14:paraId="282E5065" w14:textId="41BEF078" w:rsidR="00570A48" w:rsidRPr="00E44C20" w:rsidRDefault="00251ECE" w:rsidP="0082672B">
      <w:pPr>
        <w:pStyle w:val="MainParanoChapter"/>
        <w:numPr>
          <w:ilvl w:val="0"/>
          <w:numId w:val="13"/>
        </w:numPr>
        <w:tabs>
          <w:tab w:val="clear" w:pos="720"/>
        </w:tabs>
        <w:spacing w:after="0" w:line="276" w:lineRule="auto"/>
        <w:jc w:val="both"/>
      </w:pPr>
      <w:r>
        <w:rPr>
          <w:color w:val="000000"/>
          <w:lang w:val="en-US"/>
        </w:rPr>
        <w:lastRenderedPageBreak/>
        <w:t xml:space="preserve">At least 1 </w:t>
      </w:r>
      <w:r w:rsidR="003C09FF">
        <w:rPr>
          <w:color w:val="000000"/>
          <w:lang w:val="en-US"/>
        </w:rPr>
        <w:t xml:space="preserve">year </w:t>
      </w:r>
      <w:r w:rsidR="00FB4999" w:rsidRPr="00E44C20">
        <w:rPr>
          <w:color w:val="000000"/>
        </w:rPr>
        <w:t>professional</w:t>
      </w:r>
      <w:r w:rsidR="00570A48" w:rsidRPr="00E44C20">
        <w:rPr>
          <w:color w:val="000000"/>
        </w:rPr>
        <w:t xml:space="preserve"> experience in </w:t>
      </w:r>
      <w:r w:rsidR="00EB2BF3" w:rsidRPr="00E44C20">
        <w:rPr>
          <w:color w:val="000000"/>
          <w:lang w:val="en-US"/>
        </w:rPr>
        <w:t>standards setting processes</w:t>
      </w:r>
      <w:r w:rsidR="00787301">
        <w:rPr>
          <w:color w:val="000000"/>
          <w:lang w:val="en-US"/>
        </w:rPr>
        <w:t xml:space="preserve"> in </w:t>
      </w:r>
      <w:r w:rsidR="003C09FF">
        <w:rPr>
          <w:color w:val="000000"/>
          <w:lang w:val="en-US"/>
        </w:rPr>
        <w:t xml:space="preserve">corporate financial reporting </w:t>
      </w:r>
      <w:r w:rsidR="00787301">
        <w:rPr>
          <w:color w:val="000000"/>
          <w:lang w:val="en-US"/>
        </w:rPr>
        <w:t>area</w:t>
      </w:r>
      <w:r w:rsidR="00275520">
        <w:rPr>
          <w:color w:val="000000"/>
          <w:lang w:val="en-US"/>
        </w:rPr>
        <w:t>.</w:t>
      </w:r>
    </w:p>
    <w:p w14:paraId="0CC1FCB2" w14:textId="77777777" w:rsidR="003C09FF" w:rsidRDefault="00AD4C62" w:rsidP="0082672B">
      <w:pPr>
        <w:pStyle w:val="MainParanoChapter"/>
        <w:numPr>
          <w:ilvl w:val="0"/>
          <w:numId w:val="13"/>
        </w:numPr>
        <w:tabs>
          <w:tab w:val="clear" w:pos="720"/>
        </w:tabs>
        <w:spacing w:after="0" w:line="276" w:lineRule="auto"/>
        <w:jc w:val="both"/>
      </w:pPr>
      <w:r>
        <w:rPr>
          <w:color w:val="000000"/>
          <w:lang w:val="en-US"/>
        </w:rPr>
        <w:t xml:space="preserve">At least 1 </w:t>
      </w:r>
      <w:r w:rsidR="003C09FF">
        <w:rPr>
          <w:color w:val="000000"/>
          <w:lang w:val="en-US"/>
        </w:rPr>
        <w:t xml:space="preserve">year </w:t>
      </w:r>
      <w:r w:rsidR="00CA6CC7">
        <w:rPr>
          <w:color w:val="000000"/>
          <w:lang w:val="en-US"/>
        </w:rPr>
        <w:t>e</w:t>
      </w:r>
      <w:r w:rsidR="00EB2BF3" w:rsidRPr="00E44C20">
        <w:rPr>
          <w:color w:val="000000"/>
          <w:lang w:val="en-US"/>
        </w:rPr>
        <w:t>xperience with projects will be an asset</w:t>
      </w:r>
      <w:r w:rsidR="00A90A82">
        <w:rPr>
          <w:color w:val="000000"/>
          <w:lang w:val="en-US"/>
        </w:rPr>
        <w:t>.</w:t>
      </w:r>
      <w:r w:rsidR="003C09FF" w:rsidRPr="003C09FF">
        <w:t xml:space="preserve"> </w:t>
      </w:r>
    </w:p>
    <w:p w14:paraId="08A8D2B2" w14:textId="6C880231" w:rsidR="00EB2BF3" w:rsidRPr="00E44C20" w:rsidRDefault="00275520" w:rsidP="0082672B">
      <w:pPr>
        <w:pStyle w:val="MainParanoChapter"/>
        <w:numPr>
          <w:ilvl w:val="0"/>
          <w:numId w:val="13"/>
        </w:numPr>
        <w:tabs>
          <w:tab w:val="clear" w:pos="720"/>
        </w:tabs>
        <w:spacing w:after="0" w:line="276" w:lineRule="auto"/>
        <w:jc w:val="both"/>
      </w:pPr>
      <w:r>
        <w:rPr>
          <w:color w:val="000000"/>
          <w:lang w:val="en-US"/>
        </w:rPr>
        <w:t>E</w:t>
      </w:r>
      <w:r w:rsidR="003C09FF" w:rsidRPr="003C09FF">
        <w:rPr>
          <w:color w:val="000000"/>
          <w:lang w:val="en-US"/>
        </w:rPr>
        <w:t>xcellent communication and interpersonal skills to effectively work with NAC and AFSA staff. Ability to provide clear and concise explanations of complex financial concepts and methodologies.</w:t>
      </w:r>
    </w:p>
    <w:p w14:paraId="30A497FC" w14:textId="77777777" w:rsidR="00A6569D" w:rsidRPr="00570A48" w:rsidRDefault="00A6569D" w:rsidP="0082672B">
      <w:pPr>
        <w:pStyle w:val="ListParagraph"/>
        <w:spacing w:line="276" w:lineRule="auto"/>
        <w:ind w:left="1440"/>
        <w:jc w:val="both"/>
        <w:rPr>
          <w:rFonts w:ascii="Times New Roman" w:hAnsi="Times New Roman"/>
          <w:lang w:val="en-US"/>
        </w:rPr>
      </w:pPr>
    </w:p>
    <w:bookmarkEnd w:id="15"/>
    <w:bookmarkEnd w:id="16"/>
    <w:bookmarkEnd w:id="17"/>
    <w:bookmarkEnd w:id="18"/>
    <w:bookmarkEnd w:id="19"/>
    <w:p w14:paraId="153C0F1B" w14:textId="36962249" w:rsidR="00EB2BF3" w:rsidRPr="00A90A82" w:rsidRDefault="00EB2BF3" w:rsidP="0082672B">
      <w:pPr>
        <w:pStyle w:val="ListParagraph"/>
        <w:spacing w:before="100" w:beforeAutospacing="1" w:after="100" w:afterAutospacing="1" w:line="276" w:lineRule="auto"/>
        <w:ind w:left="375"/>
        <w:rPr>
          <w:rFonts w:ascii="Times New Roman" w:hAnsi="Times New Roman"/>
          <w:color w:val="000000"/>
          <w:lang w:val="en-US"/>
        </w:rPr>
      </w:pPr>
      <w:r w:rsidRPr="00A90A82">
        <w:rPr>
          <w:rFonts w:ascii="Times New Roman" w:hAnsi="Times New Roman"/>
          <w:b/>
          <w:color w:val="000000"/>
          <w:lang w:val="en-US"/>
        </w:rPr>
        <w:t>The key</w:t>
      </w:r>
      <w:r w:rsidRPr="00A90A82">
        <w:rPr>
          <w:rFonts w:ascii="Times New Roman" w:hAnsi="Times New Roman"/>
          <w:b/>
          <w:color w:val="000000"/>
        </w:rPr>
        <w:t xml:space="preserve"> expert</w:t>
      </w:r>
      <w:r w:rsidRPr="00A90A82">
        <w:rPr>
          <w:rFonts w:ascii="Times New Roman" w:hAnsi="Times New Roman"/>
          <w:b/>
          <w:color w:val="000000"/>
          <w:lang w:val="en-US"/>
        </w:rPr>
        <w:t xml:space="preserve"> 2</w:t>
      </w:r>
      <w:r w:rsidRPr="00A90A82">
        <w:rPr>
          <w:rFonts w:ascii="Times New Roman" w:hAnsi="Times New Roman"/>
          <w:b/>
          <w:color w:val="000000"/>
        </w:rPr>
        <w:t>(</w:t>
      </w:r>
      <w:r w:rsidRPr="00A90A82">
        <w:rPr>
          <w:rFonts w:ascii="Times New Roman" w:hAnsi="Times New Roman"/>
          <w:b/>
          <w:color w:val="000000"/>
          <w:lang w:val="en-US"/>
        </w:rPr>
        <w:t>two</w:t>
      </w:r>
      <w:r w:rsidRPr="00A90A82">
        <w:rPr>
          <w:rFonts w:ascii="Times New Roman" w:hAnsi="Times New Roman"/>
          <w:b/>
          <w:color w:val="000000"/>
        </w:rPr>
        <w:t>)</w:t>
      </w:r>
      <w:r>
        <w:rPr>
          <w:rFonts w:ascii="Times New Roman" w:hAnsi="Times New Roman"/>
          <w:color w:val="000000"/>
          <w:lang w:val="en-US"/>
        </w:rPr>
        <w:t xml:space="preserve"> </w:t>
      </w:r>
      <w:r w:rsidRPr="00570A48">
        <w:rPr>
          <w:rFonts w:ascii="Times New Roman" w:hAnsi="Times New Roman"/>
          <w:color w:val="000000"/>
        </w:rPr>
        <w:t>need</w:t>
      </w:r>
      <w:r>
        <w:rPr>
          <w:rFonts w:ascii="Times New Roman" w:hAnsi="Times New Roman"/>
          <w:color w:val="000000"/>
          <w:lang w:val="en-US"/>
        </w:rPr>
        <w:t>s</w:t>
      </w:r>
      <w:r w:rsidRPr="00570A48">
        <w:rPr>
          <w:rFonts w:ascii="Times New Roman" w:hAnsi="Times New Roman"/>
          <w:color w:val="000000"/>
        </w:rPr>
        <w:t xml:space="preserve"> to demonstrate these minimum</w:t>
      </w:r>
      <w:r w:rsidR="00A90A82">
        <w:rPr>
          <w:rFonts w:ascii="Times New Roman" w:hAnsi="Times New Roman"/>
          <w:color w:val="000000"/>
          <w:lang w:val="en-US"/>
        </w:rPr>
        <w:t>:</w:t>
      </w:r>
    </w:p>
    <w:p w14:paraId="7A7FDA91" w14:textId="77777777" w:rsidR="00C1414B" w:rsidRDefault="00E44C20" w:rsidP="00C1414B">
      <w:pPr>
        <w:pStyle w:val="MainParanoChapter"/>
        <w:numPr>
          <w:ilvl w:val="0"/>
          <w:numId w:val="12"/>
        </w:numPr>
        <w:tabs>
          <w:tab w:val="clear" w:pos="720"/>
        </w:tabs>
        <w:spacing w:after="0" w:line="276" w:lineRule="auto"/>
        <w:jc w:val="both"/>
      </w:pPr>
      <w:r w:rsidRPr="0066525D">
        <w:t>MSc/MBA in</w:t>
      </w:r>
      <w:r>
        <w:t xml:space="preserve"> Accounting,</w:t>
      </w:r>
      <w:r w:rsidRPr="0066525D">
        <w:t xml:space="preserve"> Public Management or Administration, Finance, and Public Policy or</w:t>
      </w:r>
      <w:r w:rsidR="00787301" w:rsidRPr="00787301">
        <w:t xml:space="preserve"> in other disciplines of economic sciences</w:t>
      </w:r>
      <w:r w:rsidR="004B6A94">
        <w:rPr>
          <w:lang w:val="en-US"/>
        </w:rPr>
        <w:t>;</w:t>
      </w:r>
      <w:r w:rsidR="00787301">
        <w:rPr>
          <w:lang w:val="en-US"/>
        </w:rPr>
        <w:t xml:space="preserve"> </w:t>
      </w:r>
      <w:r>
        <w:t xml:space="preserve"> </w:t>
      </w:r>
      <w:r w:rsidR="00C1414B">
        <w:t xml:space="preserve">CPA/CA or equivalent title </w:t>
      </w:r>
      <w:r w:rsidR="00C1414B">
        <w:rPr>
          <w:lang w:val="en-US"/>
        </w:rPr>
        <w:t xml:space="preserve">and </w:t>
      </w:r>
      <w:r w:rsidR="00C1414B" w:rsidRPr="0066525D">
        <w:t>PhD</w:t>
      </w:r>
      <w:r w:rsidR="00C1414B">
        <w:t xml:space="preserve"> would be an a</w:t>
      </w:r>
      <w:r w:rsidR="00C1414B">
        <w:rPr>
          <w:lang w:val="en-US"/>
        </w:rPr>
        <w:t>sset;</w:t>
      </w:r>
    </w:p>
    <w:p w14:paraId="3C1C2E77" w14:textId="1BECD30F" w:rsidR="00EB2BF3" w:rsidRPr="00E44C20" w:rsidRDefault="00EB2BF3" w:rsidP="0082672B">
      <w:pPr>
        <w:pStyle w:val="MainParanoChapter"/>
        <w:numPr>
          <w:ilvl w:val="0"/>
          <w:numId w:val="12"/>
        </w:numPr>
        <w:tabs>
          <w:tab w:val="clear" w:pos="720"/>
        </w:tabs>
        <w:spacing w:after="0" w:line="276" w:lineRule="auto"/>
        <w:jc w:val="both"/>
      </w:pPr>
      <w:r w:rsidRPr="00E44C20">
        <w:rPr>
          <w:color w:val="000000"/>
        </w:rPr>
        <w:t xml:space="preserve">Must have </w:t>
      </w:r>
      <w:r w:rsidR="00943D1E">
        <w:rPr>
          <w:color w:val="000000"/>
          <w:lang w:val="en-US"/>
        </w:rPr>
        <w:t>at least</w:t>
      </w:r>
      <w:r w:rsidRPr="00E44C20">
        <w:rPr>
          <w:color w:val="000000"/>
        </w:rPr>
        <w:t xml:space="preserve"> 10 years</w:t>
      </w:r>
      <w:r w:rsidR="00943D1E">
        <w:rPr>
          <w:color w:val="000000"/>
          <w:lang w:val="en-US"/>
        </w:rPr>
        <w:t xml:space="preserve"> of</w:t>
      </w:r>
      <w:r w:rsidRPr="00E44C20">
        <w:rPr>
          <w:color w:val="000000"/>
        </w:rPr>
        <w:t xml:space="preserve"> professional </w:t>
      </w:r>
      <w:r w:rsidR="00943D1E">
        <w:rPr>
          <w:color w:val="000000"/>
          <w:lang w:val="en-US"/>
        </w:rPr>
        <w:t xml:space="preserve">experience </w:t>
      </w:r>
      <w:r w:rsidRPr="00E44C20">
        <w:rPr>
          <w:color w:val="000000"/>
          <w:lang w:val="en-US"/>
        </w:rPr>
        <w:t>in accounting and auditing</w:t>
      </w:r>
      <w:r w:rsidR="00A90A82">
        <w:rPr>
          <w:color w:val="000000"/>
          <w:lang w:val="en-US"/>
        </w:rPr>
        <w:t>;</w:t>
      </w:r>
    </w:p>
    <w:p w14:paraId="202F52CA" w14:textId="59AD45FC" w:rsidR="00EB2BF3" w:rsidRPr="00E44C20" w:rsidRDefault="00EB2BF3" w:rsidP="0082672B">
      <w:pPr>
        <w:pStyle w:val="MainParanoChapter"/>
        <w:numPr>
          <w:ilvl w:val="0"/>
          <w:numId w:val="12"/>
        </w:numPr>
        <w:tabs>
          <w:tab w:val="clear" w:pos="720"/>
        </w:tabs>
        <w:spacing w:after="0" w:line="276" w:lineRule="auto"/>
        <w:jc w:val="both"/>
      </w:pPr>
      <w:r w:rsidRPr="00E44C20">
        <w:rPr>
          <w:color w:val="000000"/>
        </w:rPr>
        <w:t xml:space="preserve"> </w:t>
      </w:r>
      <w:r w:rsidR="00A762D1" w:rsidRPr="00E44C20">
        <w:rPr>
          <w:color w:val="000000"/>
        </w:rPr>
        <w:t xml:space="preserve">Demonstrated knowledge of IFRS </w:t>
      </w:r>
      <w:r w:rsidR="00A90A82">
        <w:rPr>
          <w:color w:val="000000"/>
          <w:lang w:val="en-US"/>
        </w:rPr>
        <w:t>;</w:t>
      </w:r>
      <w:r w:rsidR="00A762D1" w:rsidRPr="00E44C20">
        <w:rPr>
          <w:color w:val="000000"/>
          <w:lang w:val="en-US"/>
        </w:rPr>
        <w:t xml:space="preserve"> </w:t>
      </w:r>
    </w:p>
    <w:p w14:paraId="5287D4C4" w14:textId="32706755" w:rsidR="00EB2BF3" w:rsidRPr="00E44C20" w:rsidRDefault="00EB2BF3" w:rsidP="0082672B">
      <w:pPr>
        <w:pStyle w:val="MainParanoChapter"/>
        <w:numPr>
          <w:ilvl w:val="0"/>
          <w:numId w:val="12"/>
        </w:numPr>
        <w:tabs>
          <w:tab w:val="clear" w:pos="720"/>
        </w:tabs>
        <w:spacing w:after="0" w:line="276" w:lineRule="auto"/>
        <w:jc w:val="both"/>
      </w:pPr>
      <w:r w:rsidRPr="00E44C20">
        <w:rPr>
          <w:color w:val="000000"/>
        </w:rPr>
        <w:t xml:space="preserve"> </w:t>
      </w:r>
      <w:r w:rsidR="007606ED">
        <w:rPr>
          <w:color w:val="000000"/>
          <w:lang w:val="en-US"/>
        </w:rPr>
        <w:t>E</w:t>
      </w:r>
      <w:r w:rsidR="00A762D1" w:rsidRPr="00E44C20">
        <w:rPr>
          <w:color w:val="000000"/>
          <w:lang w:val="en-US"/>
        </w:rPr>
        <w:t>xperience in training delivery in IFRS 17</w:t>
      </w:r>
      <w:r w:rsidR="00A90A82">
        <w:rPr>
          <w:color w:val="000000"/>
          <w:lang w:val="en-US"/>
        </w:rPr>
        <w:t>;</w:t>
      </w:r>
    </w:p>
    <w:p w14:paraId="69721569" w14:textId="77777777" w:rsidR="003C09FF" w:rsidRDefault="00EB2BF3" w:rsidP="0082672B">
      <w:pPr>
        <w:pStyle w:val="MainParanoChapter"/>
        <w:numPr>
          <w:ilvl w:val="0"/>
          <w:numId w:val="12"/>
        </w:numPr>
        <w:tabs>
          <w:tab w:val="clear" w:pos="720"/>
        </w:tabs>
        <w:spacing w:after="0" w:line="276" w:lineRule="auto"/>
        <w:jc w:val="both"/>
      </w:pPr>
      <w:r w:rsidRPr="00E44C20">
        <w:rPr>
          <w:color w:val="000000"/>
        </w:rPr>
        <w:t xml:space="preserve"> </w:t>
      </w:r>
      <w:r w:rsidR="00AD4C62">
        <w:rPr>
          <w:color w:val="000000"/>
          <w:lang w:val="en-US"/>
        </w:rPr>
        <w:t xml:space="preserve">At least 1 </w:t>
      </w:r>
      <w:r w:rsidR="007606ED">
        <w:rPr>
          <w:color w:val="000000"/>
          <w:lang w:val="en-US"/>
        </w:rPr>
        <w:t>e</w:t>
      </w:r>
      <w:r w:rsidRPr="00E44C20">
        <w:rPr>
          <w:color w:val="000000"/>
          <w:lang w:val="en-US"/>
        </w:rPr>
        <w:t>xperience with projects will be an asset</w:t>
      </w:r>
      <w:r w:rsidR="00A90A82">
        <w:rPr>
          <w:color w:val="000000"/>
          <w:lang w:val="en-US"/>
        </w:rPr>
        <w:t>.</w:t>
      </w:r>
      <w:r w:rsidR="003C09FF" w:rsidRPr="003C09FF">
        <w:t xml:space="preserve"> </w:t>
      </w:r>
    </w:p>
    <w:p w14:paraId="3FFA44AF" w14:textId="69FE4970" w:rsidR="00EB2BF3" w:rsidRPr="00275520" w:rsidRDefault="00275520" w:rsidP="0082672B">
      <w:pPr>
        <w:pStyle w:val="MainParanoChapter"/>
        <w:numPr>
          <w:ilvl w:val="0"/>
          <w:numId w:val="12"/>
        </w:numPr>
        <w:tabs>
          <w:tab w:val="clear" w:pos="720"/>
        </w:tabs>
        <w:spacing w:after="0" w:line="276" w:lineRule="auto"/>
        <w:jc w:val="both"/>
      </w:pPr>
      <w:r>
        <w:rPr>
          <w:color w:val="000000"/>
          <w:lang w:val="en-US"/>
        </w:rPr>
        <w:t xml:space="preserve"> E</w:t>
      </w:r>
      <w:r w:rsidR="003C09FF" w:rsidRPr="003C09FF">
        <w:rPr>
          <w:color w:val="000000"/>
          <w:lang w:val="en-US"/>
        </w:rPr>
        <w:t>xcellent communication and interpersonal skills to effectively work with NAC and AFSA staff. Ability to provide clear and concise explanations of complex financial concepts and methodologies.</w:t>
      </w:r>
    </w:p>
    <w:p w14:paraId="68A05021" w14:textId="77777777" w:rsidR="00275520" w:rsidRPr="00E44C20" w:rsidRDefault="00275520" w:rsidP="00275520">
      <w:pPr>
        <w:pStyle w:val="MainParanoChapter"/>
        <w:numPr>
          <w:ilvl w:val="0"/>
          <w:numId w:val="0"/>
        </w:numPr>
        <w:tabs>
          <w:tab w:val="clear" w:pos="720"/>
        </w:tabs>
        <w:spacing w:after="0" w:line="276" w:lineRule="auto"/>
        <w:ind w:left="1080"/>
        <w:jc w:val="both"/>
      </w:pPr>
    </w:p>
    <w:p w14:paraId="12766B25" w14:textId="3C9317A7" w:rsidR="00CA12E2" w:rsidRPr="00275520" w:rsidRDefault="00CA12E2" w:rsidP="00275520">
      <w:pPr>
        <w:jc w:val="both"/>
        <w:rPr>
          <w:rFonts w:ascii="Times New Roman" w:hAnsi="Times New Roman"/>
          <w:sz w:val="24"/>
          <w:szCs w:val="24"/>
          <w:lang w:eastAsia="x-none"/>
        </w:rPr>
      </w:pPr>
      <w:r w:rsidRPr="00275520">
        <w:rPr>
          <w:rFonts w:ascii="Times New Roman" w:hAnsi="Times New Roman"/>
          <w:sz w:val="24"/>
          <w:szCs w:val="24"/>
          <w:lang w:eastAsia="x-none"/>
        </w:rPr>
        <w:t xml:space="preserve">CVs of the staff will not be evaluated during the shortlisting phase, but only during negotiation with the first ranked consultant that will be invited to submit a proposal. </w:t>
      </w:r>
    </w:p>
    <w:p w14:paraId="3AC6DC23" w14:textId="5A7DD56D" w:rsidR="00F035A0" w:rsidRPr="002C09A8" w:rsidRDefault="00F035A0" w:rsidP="00F035A0">
      <w:pPr>
        <w:spacing w:after="0" w:line="240" w:lineRule="auto"/>
        <w:jc w:val="both"/>
        <w:rPr>
          <w:rFonts w:ascii="Times New Roman" w:hAnsi="Times New Roman"/>
          <w:sz w:val="24"/>
          <w:szCs w:val="24"/>
        </w:rPr>
      </w:pPr>
      <w:r w:rsidRPr="002C09A8">
        <w:rPr>
          <w:rFonts w:ascii="Times New Roman" w:hAnsi="Times New Roman"/>
          <w:sz w:val="24"/>
          <w:szCs w:val="24"/>
        </w:rPr>
        <w:t>The</w:t>
      </w:r>
      <w:r w:rsidR="001D1DFC">
        <w:rPr>
          <w:rFonts w:ascii="Times New Roman" w:hAnsi="Times New Roman"/>
          <w:sz w:val="24"/>
          <w:szCs w:val="24"/>
        </w:rPr>
        <w:t xml:space="preserve"> </w:t>
      </w:r>
      <w:proofErr w:type="gramStart"/>
      <w:r w:rsidR="001D1DFC">
        <w:rPr>
          <w:rFonts w:ascii="Times New Roman" w:hAnsi="Times New Roman"/>
          <w:sz w:val="24"/>
          <w:szCs w:val="24"/>
        </w:rPr>
        <w:t xml:space="preserve">evaluation </w:t>
      </w:r>
      <w:r w:rsidRPr="002C09A8">
        <w:rPr>
          <w:rFonts w:ascii="Times New Roman" w:hAnsi="Times New Roman"/>
          <w:sz w:val="24"/>
          <w:szCs w:val="24"/>
        </w:rPr>
        <w:t xml:space="preserve"> criteria</w:t>
      </w:r>
      <w:proofErr w:type="gramEnd"/>
      <w:r w:rsidRPr="002C09A8">
        <w:rPr>
          <w:rFonts w:ascii="Times New Roman" w:hAnsi="Times New Roman"/>
          <w:sz w:val="24"/>
          <w:szCs w:val="24"/>
        </w:rPr>
        <w:t xml:space="preserve"> to be used for </w:t>
      </w:r>
      <w:r>
        <w:rPr>
          <w:rFonts w:ascii="Times New Roman" w:hAnsi="Times New Roman"/>
          <w:sz w:val="24"/>
          <w:szCs w:val="24"/>
        </w:rPr>
        <w:t>selecting the successful Consultant</w:t>
      </w:r>
      <w:r w:rsidRPr="002C09A8">
        <w:rPr>
          <w:rFonts w:ascii="Times New Roman" w:hAnsi="Times New Roman"/>
          <w:sz w:val="24"/>
          <w:szCs w:val="24"/>
        </w:rPr>
        <w:t xml:space="preserve"> will be the following: </w:t>
      </w:r>
    </w:p>
    <w:p w14:paraId="79F80839" w14:textId="430E911C" w:rsidR="00F035A0" w:rsidRDefault="00167BAD" w:rsidP="00F035A0">
      <w:pPr>
        <w:numPr>
          <w:ilvl w:val="0"/>
          <w:numId w:val="14"/>
        </w:numPr>
        <w:spacing w:after="0" w:line="240" w:lineRule="auto"/>
        <w:jc w:val="both"/>
        <w:rPr>
          <w:rFonts w:ascii="Times New Roman" w:hAnsi="Times New Roman"/>
          <w:sz w:val="24"/>
          <w:szCs w:val="24"/>
        </w:rPr>
      </w:pPr>
      <w:r w:rsidRPr="00167BAD">
        <w:rPr>
          <w:rFonts w:ascii="Times New Roman" w:hAnsi="Times New Roman"/>
          <w:sz w:val="24"/>
          <w:szCs w:val="24"/>
        </w:rPr>
        <w:t>General Qualifications, including core business and years in business</w:t>
      </w:r>
      <w:r w:rsidR="00F035A0" w:rsidRPr="002C09A8">
        <w:rPr>
          <w:rFonts w:ascii="Times New Roman" w:hAnsi="Times New Roman"/>
          <w:sz w:val="24"/>
          <w:szCs w:val="24"/>
        </w:rPr>
        <w:t>, (30 points);</w:t>
      </w:r>
    </w:p>
    <w:p w14:paraId="3B6066EC" w14:textId="30298BBC" w:rsidR="00F035A0" w:rsidRDefault="00167BAD" w:rsidP="00F035A0">
      <w:pPr>
        <w:numPr>
          <w:ilvl w:val="0"/>
          <w:numId w:val="14"/>
        </w:numPr>
        <w:spacing w:after="0" w:line="240" w:lineRule="auto"/>
        <w:jc w:val="both"/>
        <w:rPr>
          <w:rFonts w:ascii="Times New Roman" w:hAnsi="Times New Roman"/>
          <w:sz w:val="24"/>
          <w:szCs w:val="24"/>
        </w:rPr>
      </w:pPr>
      <w:r w:rsidRPr="00167BAD">
        <w:rPr>
          <w:rFonts w:ascii="Times New Roman" w:hAnsi="Times New Roman"/>
          <w:sz w:val="24"/>
          <w:szCs w:val="24"/>
        </w:rPr>
        <w:t>Relevant experience, including previous experience in the field of assignment</w:t>
      </w:r>
      <w:r>
        <w:rPr>
          <w:rFonts w:ascii="Times New Roman" w:hAnsi="Times New Roman"/>
          <w:sz w:val="24"/>
          <w:szCs w:val="24"/>
        </w:rPr>
        <w:t>,</w:t>
      </w:r>
      <w:r w:rsidR="00F035A0" w:rsidRPr="0042024F">
        <w:rPr>
          <w:rFonts w:ascii="Times New Roman" w:hAnsi="Times New Roman"/>
          <w:sz w:val="24"/>
          <w:szCs w:val="24"/>
        </w:rPr>
        <w:t xml:space="preserve"> (</w:t>
      </w:r>
      <w:r w:rsidR="00F035A0">
        <w:rPr>
          <w:rFonts w:ascii="Times New Roman" w:hAnsi="Times New Roman"/>
          <w:sz w:val="24"/>
          <w:szCs w:val="24"/>
        </w:rPr>
        <w:t>60</w:t>
      </w:r>
      <w:r w:rsidR="00F035A0" w:rsidRPr="0042024F">
        <w:rPr>
          <w:rFonts w:ascii="Times New Roman" w:hAnsi="Times New Roman"/>
          <w:sz w:val="24"/>
          <w:szCs w:val="24"/>
        </w:rPr>
        <w:t xml:space="preserve"> points);</w:t>
      </w:r>
    </w:p>
    <w:p w14:paraId="7C593B15" w14:textId="7DAE8972" w:rsidR="00F035A0" w:rsidRPr="0042024F" w:rsidRDefault="00167BAD" w:rsidP="00F035A0">
      <w:pPr>
        <w:numPr>
          <w:ilvl w:val="0"/>
          <w:numId w:val="14"/>
        </w:numPr>
        <w:spacing w:after="0" w:line="240" w:lineRule="auto"/>
        <w:jc w:val="both"/>
        <w:rPr>
          <w:rFonts w:ascii="Times New Roman" w:hAnsi="Times New Roman"/>
          <w:sz w:val="24"/>
          <w:szCs w:val="24"/>
        </w:rPr>
      </w:pPr>
      <w:r w:rsidRPr="00167BAD">
        <w:rPr>
          <w:rFonts w:ascii="Times New Roman" w:hAnsi="Times New Roman"/>
          <w:sz w:val="24"/>
          <w:szCs w:val="24"/>
        </w:rPr>
        <w:t>Availability of qualified staff within the consulting firm</w:t>
      </w:r>
      <w:r w:rsidR="00F035A0" w:rsidRPr="00167BAD">
        <w:rPr>
          <w:rFonts w:ascii="Times New Roman" w:hAnsi="Times New Roman"/>
          <w:sz w:val="24"/>
          <w:szCs w:val="24"/>
        </w:rPr>
        <w:t xml:space="preserve"> (10</w:t>
      </w:r>
      <w:r>
        <w:rPr>
          <w:rFonts w:ascii="Times New Roman" w:hAnsi="Times New Roman"/>
          <w:sz w:val="24"/>
          <w:szCs w:val="24"/>
        </w:rPr>
        <w:t xml:space="preserve"> points</w:t>
      </w:r>
      <w:r w:rsidR="00F035A0">
        <w:rPr>
          <w:rFonts w:ascii="Times New Roman" w:hAnsi="Times New Roman"/>
          <w:sz w:val="24"/>
          <w:szCs w:val="24"/>
        </w:rPr>
        <w:t>).</w:t>
      </w:r>
    </w:p>
    <w:p w14:paraId="1B102C2A" w14:textId="77777777" w:rsidR="008A7D0A" w:rsidRPr="008A7D0A" w:rsidRDefault="008A7D0A" w:rsidP="008A7D0A">
      <w:pPr>
        <w:rPr>
          <w:rFonts w:ascii="Times New Roman" w:hAnsi="Times New Roman"/>
          <w:sz w:val="24"/>
          <w:szCs w:val="24"/>
        </w:rPr>
      </w:pPr>
    </w:p>
    <w:p w14:paraId="33A821B7" w14:textId="77777777" w:rsidR="008A7D0A" w:rsidRPr="003F6A45" w:rsidRDefault="008A7D0A" w:rsidP="0082672B">
      <w:pPr>
        <w:rPr>
          <w:rFonts w:ascii="Times New Roman" w:hAnsi="Times New Roman"/>
          <w:sz w:val="24"/>
          <w:szCs w:val="24"/>
        </w:rPr>
      </w:pPr>
    </w:p>
    <w:p w14:paraId="0D29CA03" w14:textId="77777777" w:rsidR="0042755E" w:rsidRPr="003F6A45" w:rsidRDefault="0042755E" w:rsidP="007606ED">
      <w:pPr>
        <w:pStyle w:val="ListParagraph"/>
        <w:numPr>
          <w:ilvl w:val="0"/>
          <w:numId w:val="5"/>
        </w:numPr>
        <w:spacing w:line="276" w:lineRule="auto"/>
        <w:jc w:val="both"/>
        <w:rPr>
          <w:rFonts w:ascii="Times New Roman" w:hAnsi="Times New Roman"/>
          <w:b/>
        </w:rPr>
      </w:pPr>
      <w:r w:rsidRPr="003F6A45">
        <w:rPr>
          <w:rFonts w:ascii="Times New Roman" w:hAnsi="Times New Roman"/>
          <w:b/>
          <w:lang w:val="en-US"/>
        </w:rPr>
        <w:t>Restrictions</w:t>
      </w:r>
    </w:p>
    <w:p w14:paraId="17379B73" w14:textId="77777777" w:rsidR="0042755E" w:rsidRPr="003F6A45" w:rsidRDefault="0042755E" w:rsidP="0082672B">
      <w:pPr>
        <w:rPr>
          <w:rFonts w:ascii="Times New Roman" w:hAnsi="Times New Roman"/>
          <w:sz w:val="24"/>
          <w:szCs w:val="24"/>
        </w:rPr>
      </w:pPr>
    </w:p>
    <w:p w14:paraId="4B5353C2" w14:textId="4761D5ED" w:rsidR="0042755E" w:rsidRDefault="0042755E" w:rsidP="00A90A82">
      <w:pPr>
        <w:pStyle w:val="ListParagraph"/>
        <w:spacing w:line="276" w:lineRule="auto"/>
        <w:ind w:left="0"/>
        <w:jc w:val="both"/>
        <w:rPr>
          <w:rFonts w:ascii="Times New Roman" w:hAnsi="Times New Roman"/>
          <w:lang w:val="en-US"/>
        </w:rPr>
      </w:pPr>
      <w:r w:rsidRPr="003F6A45">
        <w:rPr>
          <w:rFonts w:ascii="Times New Roman" w:hAnsi="Times New Roman"/>
          <w:lang w:val="en-US"/>
        </w:rPr>
        <w:t>In addition to the standard conflict of interest restrictions specified in the consulting contract, all materials created under this Contract will remain the sole property of the M</w:t>
      </w:r>
      <w:r w:rsidR="009C1076" w:rsidRPr="003F6A45">
        <w:rPr>
          <w:rFonts w:ascii="Times New Roman" w:hAnsi="Times New Roman"/>
          <w:lang w:val="en-US"/>
        </w:rPr>
        <w:t>inistry of Finance</w:t>
      </w:r>
      <w:r w:rsidR="003C09FF">
        <w:rPr>
          <w:rFonts w:ascii="Times New Roman" w:hAnsi="Times New Roman"/>
          <w:lang w:val="en-US"/>
        </w:rPr>
        <w:t xml:space="preserve"> and Economy</w:t>
      </w:r>
      <w:r w:rsidRPr="003F6A45">
        <w:rPr>
          <w:rFonts w:ascii="Times New Roman" w:hAnsi="Times New Roman"/>
          <w:lang w:val="en-US"/>
        </w:rPr>
        <w:t xml:space="preserve">. Re-use of the materials will require </w:t>
      </w:r>
      <w:r w:rsidR="00335370" w:rsidRPr="003F6A45">
        <w:rPr>
          <w:rFonts w:ascii="Times New Roman" w:hAnsi="Times New Roman"/>
          <w:lang w:val="en-US"/>
        </w:rPr>
        <w:t>formal</w:t>
      </w:r>
      <w:r w:rsidRPr="003F6A45">
        <w:rPr>
          <w:rFonts w:ascii="Times New Roman" w:hAnsi="Times New Roman"/>
          <w:lang w:val="en-US"/>
        </w:rPr>
        <w:t>, written approval.</w:t>
      </w:r>
    </w:p>
    <w:p w14:paraId="628A2CDF" w14:textId="77777777" w:rsidR="00F035A0" w:rsidRPr="003F6A45" w:rsidRDefault="00F035A0" w:rsidP="00A90A82">
      <w:pPr>
        <w:pStyle w:val="ListParagraph"/>
        <w:spacing w:line="276" w:lineRule="auto"/>
        <w:ind w:left="0"/>
        <w:jc w:val="both"/>
        <w:rPr>
          <w:rFonts w:ascii="Times New Roman" w:hAnsi="Times New Roman"/>
          <w:lang w:val="en-US"/>
        </w:rPr>
      </w:pPr>
    </w:p>
    <w:p w14:paraId="56C1102B" w14:textId="77777777" w:rsidR="0042755E" w:rsidRDefault="0042755E" w:rsidP="00A90A82">
      <w:pPr>
        <w:pStyle w:val="ListParagraph"/>
        <w:spacing w:line="276" w:lineRule="auto"/>
        <w:ind w:left="0"/>
        <w:jc w:val="both"/>
        <w:rPr>
          <w:rFonts w:ascii="Times New Roman" w:hAnsi="Times New Roman"/>
          <w:lang w:val="en-US"/>
        </w:rPr>
      </w:pPr>
      <w:r w:rsidRPr="003F6A45">
        <w:rPr>
          <w:rFonts w:ascii="Times New Roman" w:hAnsi="Times New Roman"/>
          <w:lang w:val="en-US"/>
        </w:rPr>
        <w:t>The Consultant shall have no material interest in any of the outputs of this assignment.</w:t>
      </w:r>
    </w:p>
    <w:p w14:paraId="0E475B67" w14:textId="77777777" w:rsidR="00F035A0" w:rsidRPr="003F6A45" w:rsidRDefault="00F035A0" w:rsidP="00A90A82">
      <w:pPr>
        <w:pStyle w:val="ListParagraph"/>
        <w:spacing w:line="276" w:lineRule="auto"/>
        <w:ind w:left="0"/>
        <w:jc w:val="both"/>
        <w:rPr>
          <w:rFonts w:ascii="Times New Roman" w:hAnsi="Times New Roman"/>
          <w:lang w:val="en-US"/>
        </w:rPr>
      </w:pPr>
    </w:p>
    <w:p w14:paraId="47962187" w14:textId="4F410201" w:rsidR="0042755E" w:rsidRDefault="0042755E" w:rsidP="00A90A82">
      <w:pPr>
        <w:pStyle w:val="ListParagraph"/>
        <w:spacing w:line="276" w:lineRule="auto"/>
        <w:ind w:left="0"/>
        <w:jc w:val="both"/>
        <w:rPr>
          <w:rFonts w:ascii="Times New Roman" w:hAnsi="Times New Roman"/>
          <w:lang w:val="en-US"/>
        </w:rPr>
      </w:pPr>
      <w:r w:rsidRPr="003F6A45">
        <w:rPr>
          <w:rFonts w:ascii="Times New Roman" w:hAnsi="Times New Roman"/>
          <w:lang w:val="en-US"/>
        </w:rPr>
        <w:lastRenderedPageBreak/>
        <w:t xml:space="preserve">On the commencement of the assignment, the Consultant will jointly prepare with the </w:t>
      </w:r>
      <w:r w:rsidR="009C1076" w:rsidRPr="003F6A45">
        <w:rPr>
          <w:rFonts w:ascii="Times New Roman" w:hAnsi="Times New Roman"/>
          <w:lang w:val="en-US"/>
        </w:rPr>
        <w:t xml:space="preserve">Ministry of Finance </w:t>
      </w:r>
      <w:r w:rsidR="003C09FF">
        <w:rPr>
          <w:rFonts w:ascii="Times New Roman" w:hAnsi="Times New Roman"/>
          <w:lang w:val="en-US"/>
        </w:rPr>
        <w:t xml:space="preserve">and Economy </w:t>
      </w:r>
      <w:r w:rsidR="009C1076" w:rsidRPr="003F6A45">
        <w:rPr>
          <w:rFonts w:ascii="Times New Roman" w:hAnsi="Times New Roman"/>
          <w:lang w:val="en-US"/>
        </w:rPr>
        <w:t>a</w:t>
      </w:r>
      <w:r w:rsidRPr="003F6A45">
        <w:rPr>
          <w:rFonts w:ascii="Times New Roman" w:hAnsi="Times New Roman"/>
          <w:lang w:val="en-US"/>
        </w:rPr>
        <w:t xml:space="preserve"> statement of confidentiality that will bind the Consultant to nondisclosure of any sensitive information that he/she may become knowledgeable of </w:t>
      </w:r>
      <w:r w:rsidR="00335370" w:rsidRPr="003F6A45">
        <w:rPr>
          <w:rFonts w:ascii="Times New Roman" w:hAnsi="Times New Roman"/>
          <w:lang w:val="en-US"/>
        </w:rPr>
        <w:t>during</w:t>
      </w:r>
      <w:r w:rsidRPr="003F6A45">
        <w:rPr>
          <w:rFonts w:ascii="Times New Roman" w:hAnsi="Times New Roman"/>
          <w:lang w:val="en-US"/>
        </w:rPr>
        <w:t xml:space="preserve"> the assignment</w:t>
      </w:r>
      <w:r w:rsidR="00335370" w:rsidRPr="003F6A45">
        <w:rPr>
          <w:rFonts w:ascii="Times New Roman" w:hAnsi="Times New Roman"/>
          <w:lang w:val="en-US"/>
        </w:rPr>
        <w:t xml:space="preserve">. </w:t>
      </w:r>
    </w:p>
    <w:p w14:paraId="69E85887" w14:textId="77777777" w:rsidR="00F035A0" w:rsidRPr="003F6A45" w:rsidRDefault="00F035A0" w:rsidP="00A90A82">
      <w:pPr>
        <w:pStyle w:val="ListParagraph"/>
        <w:spacing w:line="276" w:lineRule="auto"/>
        <w:ind w:left="0"/>
        <w:jc w:val="both"/>
        <w:rPr>
          <w:rFonts w:ascii="Times New Roman" w:hAnsi="Times New Roman"/>
          <w:lang w:val="en-US"/>
        </w:rPr>
      </w:pPr>
    </w:p>
    <w:p w14:paraId="37A53BA4" w14:textId="77777777" w:rsidR="00C8012B" w:rsidRDefault="0042755E" w:rsidP="00C8012B">
      <w:pPr>
        <w:pStyle w:val="ListParagraph"/>
        <w:spacing w:line="276" w:lineRule="auto"/>
        <w:ind w:left="0"/>
        <w:jc w:val="both"/>
        <w:rPr>
          <w:rFonts w:ascii="Times New Roman" w:hAnsi="Times New Roman"/>
        </w:rPr>
      </w:pPr>
      <w:r w:rsidRPr="003F6A45">
        <w:rPr>
          <w:rFonts w:ascii="Times New Roman" w:hAnsi="Times New Roman"/>
          <w:lang w:val="en-US"/>
        </w:rPr>
        <w:t>The terms of this agreement shall be made consistent with the relevant privacy laws of the Republic of Albania.</w:t>
      </w:r>
    </w:p>
    <w:p w14:paraId="35BB22BD" w14:textId="77777777" w:rsidR="00C8012B" w:rsidRDefault="00C8012B" w:rsidP="00C8012B">
      <w:pPr>
        <w:pStyle w:val="ListParagraph"/>
        <w:spacing w:line="276" w:lineRule="auto"/>
        <w:ind w:left="0"/>
        <w:jc w:val="both"/>
        <w:rPr>
          <w:rFonts w:ascii="Times New Roman" w:hAnsi="Times New Roman"/>
        </w:rPr>
      </w:pPr>
    </w:p>
    <w:p w14:paraId="36F75554" w14:textId="67306FB8" w:rsidR="0042755E" w:rsidRPr="00C8012B" w:rsidRDefault="00C8012B" w:rsidP="00C8012B">
      <w:pPr>
        <w:pStyle w:val="ListParagraph"/>
        <w:spacing w:line="276" w:lineRule="auto"/>
        <w:ind w:left="0"/>
        <w:jc w:val="both"/>
        <w:rPr>
          <w:rFonts w:ascii="Times New Roman" w:hAnsi="Times New Roman"/>
          <w:b/>
        </w:rPr>
      </w:pPr>
      <w:r w:rsidRPr="00C8012B">
        <w:rPr>
          <w:rFonts w:ascii="Times New Roman" w:hAnsi="Times New Roman"/>
          <w:b/>
          <w:lang w:val="en-US"/>
        </w:rPr>
        <w:t xml:space="preserve">9. </w:t>
      </w:r>
      <w:r w:rsidR="0042755E" w:rsidRPr="00C8012B">
        <w:rPr>
          <w:rFonts w:ascii="Times New Roman" w:hAnsi="Times New Roman"/>
          <w:b/>
          <w:lang w:val="en-US"/>
        </w:rPr>
        <w:t xml:space="preserve">Selection </w:t>
      </w:r>
    </w:p>
    <w:p w14:paraId="499158EC" w14:textId="77777777" w:rsidR="0042755E" w:rsidRPr="003F6A45" w:rsidRDefault="0042755E" w:rsidP="0082672B">
      <w:pPr>
        <w:pStyle w:val="ListParagraph"/>
        <w:spacing w:line="276" w:lineRule="auto"/>
        <w:ind w:left="0"/>
        <w:rPr>
          <w:rFonts w:ascii="Times New Roman" w:hAnsi="Times New Roman"/>
          <w:lang w:val="en-US"/>
        </w:rPr>
      </w:pPr>
    </w:p>
    <w:p w14:paraId="680D34AB" w14:textId="7C83CD30" w:rsidR="0042755E" w:rsidRPr="003F6A45" w:rsidRDefault="00F035A0" w:rsidP="0082672B">
      <w:pPr>
        <w:jc w:val="both"/>
        <w:rPr>
          <w:rFonts w:ascii="Times New Roman" w:hAnsi="Times New Roman"/>
          <w:sz w:val="24"/>
          <w:szCs w:val="24"/>
        </w:rPr>
      </w:pPr>
      <w:r w:rsidRPr="00F035A0">
        <w:rPr>
          <w:rFonts w:ascii="Times New Roman" w:hAnsi="Times New Roman"/>
          <w:sz w:val="24"/>
          <w:szCs w:val="24"/>
        </w:rPr>
        <w:t>The service will be selected under the provisions of the World Bank Procurement Regulations for IPF Borrowers “Procurement in Investment Project Financing Goods, Works, Non-Consulting and Consulting Services (July 2016, Revised November 2017, August 2018, November 2020), based on the method of Consultants Qualification Selection (CQS) Method, Lump - Sum Contract. The Bank requires that firms or individuals involved in Bank IPF procurement shal</w:t>
      </w:r>
      <w:r>
        <w:rPr>
          <w:rFonts w:ascii="Times New Roman" w:hAnsi="Times New Roman"/>
          <w:sz w:val="24"/>
          <w:szCs w:val="24"/>
        </w:rPr>
        <w:t>l not have conflict of interest</w:t>
      </w:r>
      <w:r w:rsidR="0042755E" w:rsidRPr="003F6A45">
        <w:rPr>
          <w:rFonts w:ascii="Times New Roman" w:hAnsi="Times New Roman"/>
          <w:sz w:val="24"/>
          <w:szCs w:val="24"/>
        </w:rPr>
        <w:t xml:space="preserve">. </w:t>
      </w:r>
      <w:bookmarkStart w:id="21" w:name="_GoBack"/>
      <w:bookmarkEnd w:id="21"/>
    </w:p>
    <w:sectPr w:rsidR="0042755E" w:rsidRPr="003F6A45" w:rsidSect="001D3DC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60AC5" w14:textId="77777777" w:rsidR="009E64B3" w:rsidRDefault="009E64B3" w:rsidP="005969A7">
      <w:pPr>
        <w:spacing w:after="0" w:line="240" w:lineRule="auto"/>
      </w:pPr>
      <w:r>
        <w:separator/>
      </w:r>
    </w:p>
  </w:endnote>
  <w:endnote w:type="continuationSeparator" w:id="0">
    <w:p w14:paraId="6C9C9B03" w14:textId="77777777" w:rsidR="009E64B3" w:rsidRDefault="009E64B3"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6DB3" w14:textId="77777777" w:rsidR="00A13A67" w:rsidRDefault="00A13A67">
    <w:pPr>
      <w:pStyle w:val="Footer"/>
      <w:jc w:val="center"/>
    </w:pPr>
    <w:r>
      <w:fldChar w:fldCharType="begin"/>
    </w:r>
    <w:r>
      <w:instrText xml:space="preserve"> PAGE   \* MERGEFORMAT </w:instrText>
    </w:r>
    <w:r>
      <w:fldChar w:fldCharType="separate"/>
    </w:r>
    <w:r w:rsidR="00C8012B">
      <w:rPr>
        <w:noProof/>
      </w:rPr>
      <w:t>14</w:t>
    </w:r>
    <w:r>
      <w:fldChar w:fldCharType="end"/>
    </w:r>
  </w:p>
  <w:p w14:paraId="30272E31" w14:textId="77777777" w:rsidR="00A13A67" w:rsidRDefault="00A13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F5D5B" w14:textId="77777777" w:rsidR="009E64B3" w:rsidRDefault="009E64B3" w:rsidP="005969A7">
      <w:pPr>
        <w:spacing w:after="0" w:line="240" w:lineRule="auto"/>
      </w:pPr>
      <w:r>
        <w:separator/>
      </w:r>
    </w:p>
  </w:footnote>
  <w:footnote w:type="continuationSeparator" w:id="0">
    <w:p w14:paraId="616F9A8A" w14:textId="77777777" w:rsidR="009E64B3" w:rsidRDefault="009E64B3" w:rsidP="005969A7">
      <w:pPr>
        <w:spacing w:after="0" w:line="240" w:lineRule="auto"/>
      </w:pPr>
      <w:r>
        <w:continuationSeparator/>
      </w:r>
    </w:p>
  </w:footnote>
  <w:footnote w:id="1">
    <w:p w14:paraId="614E08DC" w14:textId="77777777" w:rsidR="00A13A67" w:rsidRDefault="00A13A67" w:rsidP="00FD38B7">
      <w:pPr>
        <w:pStyle w:val="FootnoteText"/>
      </w:pPr>
    </w:p>
  </w:footnote>
  <w:footnote w:id="2">
    <w:p w14:paraId="65BA0C60" w14:textId="77777777" w:rsidR="00A13A67" w:rsidRDefault="00A13A67" w:rsidP="000E7860"/>
  </w:footnote>
  <w:footnote w:id="3">
    <w:p w14:paraId="2D79A202" w14:textId="77777777" w:rsidR="00A13A67" w:rsidRPr="00BE4378" w:rsidRDefault="00A13A67" w:rsidP="000E7860">
      <w:pPr>
        <w:pStyle w:val="FootnoteText"/>
      </w:pPr>
      <w:r>
        <w:rPr>
          <w:rStyle w:val="FootnoteReference"/>
        </w:rPr>
        <w:footnoteRef/>
      </w:r>
      <w:r>
        <w:t xml:space="preserve"> </w:t>
      </w:r>
      <w:r w:rsidRPr="00BE4378">
        <w:rPr>
          <w:rFonts w:ascii="Arial" w:hAnsi="Arial" w:cs="Arial"/>
          <w:color w:val="202124"/>
          <w:shd w:val="clear" w:color="auto" w:fill="FFFFFF"/>
        </w:rPr>
        <w:t>IFRS 17 defines a contract as onerous when the PAA liability for remaining coverage is not sufficient to meet the expected fulfillment cashflows – and must therefore be increased to the higher amount.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88E53D5"/>
    <w:multiLevelType w:val="hybridMultilevel"/>
    <w:tmpl w:val="CA221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B7319"/>
    <w:multiLevelType w:val="multilevel"/>
    <w:tmpl w:val="9A2CF470"/>
    <w:lvl w:ilvl="0">
      <w:start w:val="3"/>
      <w:numFmt w:val="decimal"/>
      <w:lvlText w:val="%1"/>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D516DC6"/>
    <w:multiLevelType w:val="multilevel"/>
    <w:tmpl w:val="C6E6019E"/>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0D10E5"/>
    <w:multiLevelType w:val="hybridMultilevel"/>
    <w:tmpl w:val="AFA258FE"/>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
    <w:nsid w:val="1E625574"/>
    <w:multiLevelType w:val="multilevel"/>
    <w:tmpl w:val="33047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10">
    <w:nsid w:val="429E6F94"/>
    <w:multiLevelType w:val="multilevel"/>
    <w:tmpl w:val="EB0CC8B6"/>
    <w:lvl w:ilvl="0">
      <w:start w:val="5"/>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3163F49"/>
    <w:multiLevelType w:val="hybridMultilevel"/>
    <w:tmpl w:val="24808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2949C8"/>
    <w:multiLevelType w:val="hybridMultilevel"/>
    <w:tmpl w:val="AAD66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9E150A"/>
    <w:multiLevelType w:val="hybridMultilevel"/>
    <w:tmpl w:val="8B3E2B7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5F784351"/>
    <w:multiLevelType w:val="hybridMultilevel"/>
    <w:tmpl w:val="17347404"/>
    <w:lvl w:ilvl="0" w:tplc="7CA4042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370D14"/>
    <w:multiLevelType w:val="hybridMultilevel"/>
    <w:tmpl w:val="E6D4F108"/>
    <w:lvl w:ilvl="0" w:tplc="963E6B00">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6"/>
  </w:num>
  <w:num w:numId="5">
    <w:abstractNumId w:val="2"/>
  </w:num>
  <w:num w:numId="6">
    <w:abstractNumId w:val="4"/>
  </w:num>
  <w:num w:numId="7">
    <w:abstractNumId w:val="13"/>
  </w:num>
  <w:num w:numId="8">
    <w:abstractNumId w:val="3"/>
  </w:num>
  <w:num w:numId="9">
    <w:abstractNumId w:val="11"/>
  </w:num>
  <w:num w:numId="10">
    <w:abstractNumId w:val="12"/>
  </w:num>
  <w:num w:numId="11">
    <w:abstractNumId w:val="10"/>
  </w:num>
  <w:num w:numId="12">
    <w:abstractNumId w:val="15"/>
  </w:num>
  <w:num w:numId="13">
    <w:abstractNumId w:val="14"/>
  </w:num>
  <w:num w:numId="14">
    <w:abstractNumId w:val="8"/>
  </w:num>
  <w:num w:numId="15">
    <w:abstractNumId w:val="5"/>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61"/>
    <w:rsid w:val="000038D7"/>
    <w:rsid w:val="000044DB"/>
    <w:rsid w:val="00004D10"/>
    <w:rsid w:val="00010329"/>
    <w:rsid w:val="00010D5F"/>
    <w:rsid w:val="00010F81"/>
    <w:rsid w:val="00020D51"/>
    <w:rsid w:val="00023147"/>
    <w:rsid w:val="00023354"/>
    <w:rsid w:val="00023531"/>
    <w:rsid w:val="0003031D"/>
    <w:rsid w:val="00030B09"/>
    <w:rsid w:val="0003195D"/>
    <w:rsid w:val="0003517F"/>
    <w:rsid w:val="00037CAC"/>
    <w:rsid w:val="00040AA0"/>
    <w:rsid w:val="00047D7B"/>
    <w:rsid w:val="000511A2"/>
    <w:rsid w:val="00055F00"/>
    <w:rsid w:val="000608BE"/>
    <w:rsid w:val="00065270"/>
    <w:rsid w:val="00070EAC"/>
    <w:rsid w:val="00071E7C"/>
    <w:rsid w:val="00080197"/>
    <w:rsid w:val="00081038"/>
    <w:rsid w:val="00081519"/>
    <w:rsid w:val="000817E6"/>
    <w:rsid w:val="00082747"/>
    <w:rsid w:val="00086988"/>
    <w:rsid w:val="00086C07"/>
    <w:rsid w:val="00086FB5"/>
    <w:rsid w:val="00094388"/>
    <w:rsid w:val="000A0FEE"/>
    <w:rsid w:val="000A757C"/>
    <w:rsid w:val="000B24CE"/>
    <w:rsid w:val="000B4E94"/>
    <w:rsid w:val="000B5BD8"/>
    <w:rsid w:val="000C4281"/>
    <w:rsid w:val="000C4AFB"/>
    <w:rsid w:val="000C54EF"/>
    <w:rsid w:val="000C778B"/>
    <w:rsid w:val="000C7C36"/>
    <w:rsid w:val="000D15BB"/>
    <w:rsid w:val="000D1C83"/>
    <w:rsid w:val="000E013D"/>
    <w:rsid w:val="000E3FDD"/>
    <w:rsid w:val="000E7860"/>
    <w:rsid w:val="000E7C95"/>
    <w:rsid w:val="00103DCD"/>
    <w:rsid w:val="00107575"/>
    <w:rsid w:val="001075F8"/>
    <w:rsid w:val="00110D7A"/>
    <w:rsid w:val="00112B2B"/>
    <w:rsid w:val="001155DF"/>
    <w:rsid w:val="00116F0D"/>
    <w:rsid w:val="0012148B"/>
    <w:rsid w:val="00123564"/>
    <w:rsid w:val="0012674A"/>
    <w:rsid w:val="00127747"/>
    <w:rsid w:val="00131247"/>
    <w:rsid w:val="0013258E"/>
    <w:rsid w:val="00136CD3"/>
    <w:rsid w:val="00146CD1"/>
    <w:rsid w:val="001472BA"/>
    <w:rsid w:val="0015069F"/>
    <w:rsid w:val="00152654"/>
    <w:rsid w:val="001556D2"/>
    <w:rsid w:val="00157230"/>
    <w:rsid w:val="00157B0C"/>
    <w:rsid w:val="00160A00"/>
    <w:rsid w:val="00163212"/>
    <w:rsid w:val="00166A43"/>
    <w:rsid w:val="00167BAD"/>
    <w:rsid w:val="00170ADE"/>
    <w:rsid w:val="00177599"/>
    <w:rsid w:val="001828D9"/>
    <w:rsid w:val="00183407"/>
    <w:rsid w:val="00186250"/>
    <w:rsid w:val="0019153F"/>
    <w:rsid w:val="001934D2"/>
    <w:rsid w:val="00196E28"/>
    <w:rsid w:val="001A2D18"/>
    <w:rsid w:val="001A4492"/>
    <w:rsid w:val="001A6B3D"/>
    <w:rsid w:val="001B7DBB"/>
    <w:rsid w:val="001C76B0"/>
    <w:rsid w:val="001D0307"/>
    <w:rsid w:val="001D1DFC"/>
    <w:rsid w:val="001D247C"/>
    <w:rsid w:val="001D3026"/>
    <w:rsid w:val="001D329E"/>
    <w:rsid w:val="001D3C2F"/>
    <w:rsid w:val="001D3DC9"/>
    <w:rsid w:val="001D5A46"/>
    <w:rsid w:val="001D75AA"/>
    <w:rsid w:val="001E2123"/>
    <w:rsid w:val="001E60E8"/>
    <w:rsid w:val="001E6C2C"/>
    <w:rsid w:val="001F3A3B"/>
    <w:rsid w:val="001F61CE"/>
    <w:rsid w:val="001F6615"/>
    <w:rsid w:val="00200097"/>
    <w:rsid w:val="0020163B"/>
    <w:rsid w:val="0020363D"/>
    <w:rsid w:val="00204547"/>
    <w:rsid w:val="00205A5C"/>
    <w:rsid w:val="002068B0"/>
    <w:rsid w:val="00206A0F"/>
    <w:rsid w:val="002102B2"/>
    <w:rsid w:val="00210537"/>
    <w:rsid w:val="00212137"/>
    <w:rsid w:val="002121CC"/>
    <w:rsid w:val="002152F8"/>
    <w:rsid w:val="00215A0B"/>
    <w:rsid w:val="00222912"/>
    <w:rsid w:val="00223C26"/>
    <w:rsid w:val="00223D99"/>
    <w:rsid w:val="00230B1B"/>
    <w:rsid w:val="00234876"/>
    <w:rsid w:val="00235B1C"/>
    <w:rsid w:val="0024119D"/>
    <w:rsid w:val="00242986"/>
    <w:rsid w:val="00244D5E"/>
    <w:rsid w:val="00245C4B"/>
    <w:rsid w:val="00245CAB"/>
    <w:rsid w:val="00246224"/>
    <w:rsid w:val="00246A47"/>
    <w:rsid w:val="00251ECE"/>
    <w:rsid w:val="002523C9"/>
    <w:rsid w:val="00254397"/>
    <w:rsid w:val="002548F4"/>
    <w:rsid w:val="002552B5"/>
    <w:rsid w:val="00256C3A"/>
    <w:rsid w:val="00257397"/>
    <w:rsid w:val="0026042D"/>
    <w:rsid w:val="00262067"/>
    <w:rsid w:val="002649AD"/>
    <w:rsid w:val="002669B1"/>
    <w:rsid w:val="00270400"/>
    <w:rsid w:val="00274199"/>
    <w:rsid w:val="00275340"/>
    <w:rsid w:val="00275520"/>
    <w:rsid w:val="00280203"/>
    <w:rsid w:val="00280D49"/>
    <w:rsid w:val="00290C64"/>
    <w:rsid w:val="00293304"/>
    <w:rsid w:val="00293844"/>
    <w:rsid w:val="002938AE"/>
    <w:rsid w:val="0029520E"/>
    <w:rsid w:val="002A2750"/>
    <w:rsid w:val="002B0079"/>
    <w:rsid w:val="002B00E8"/>
    <w:rsid w:val="002B5EF4"/>
    <w:rsid w:val="002B6D1D"/>
    <w:rsid w:val="002C0BEF"/>
    <w:rsid w:val="002D0889"/>
    <w:rsid w:val="002D158C"/>
    <w:rsid w:val="002D1AB6"/>
    <w:rsid w:val="002D3356"/>
    <w:rsid w:val="002D477C"/>
    <w:rsid w:val="002D4AE3"/>
    <w:rsid w:val="002D50DD"/>
    <w:rsid w:val="002D519C"/>
    <w:rsid w:val="002D5765"/>
    <w:rsid w:val="002D79CE"/>
    <w:rsid w:val="002E5B3B"/>
    <w:rsid w:val="002F43AC"/>
    <w:rsid w:val="00304E67"/>
    <w:rsid w:val="00321669"/>
    <w:rsid w:val="003216ED"/>
    <w:rsid w:val="00321C13"/>
    <w:rsid w:val="00331F01"/>
    <w:rsid w:val="00334142"/>
    <w:rsid w:val="00335272"/>
    <w:rsid w:val="00335370"/>
    <w:rsid w:val="00337556"/>
    <w:rsid w:val="0034020F"/>
    <w:rsid w:val="003443EA"/>
    <w:rsid w:val="00351A60"/>
    <w:rsid w:val="003533BD"/>
    <w:rsid w:val="003536D1"/>
    <w:rsid w:val="003606BB"/>
    <w:rsid w:val="00361C88"/>
    <w:rsid w:val="00363290"/>
    <w:rsid w:val="003677CA"/>
    <w:rsid w:val="003731A2"/>
    <w:rsid w:val="00380858"/>
    <w:rsid w:val="00382F62"/>
    <w:rsid w:val="00384E9A"/>
    <w:rsid w:val="003870EC"/>
    <w:rsid w:val="00397090"/>
    <w:rsid w:val="003A010A"/>
    <w:rsid w:val="003A0E4C"/>
    <w:rsid w:val="003A1EF9"/>
    <w:rsid w:val="003A2723"/>
    <w:rsid w:val="003A4E6A"/>
    <w:rsid w:val="003A54EC"/>
    <w:rsid w:val="003A7762"/>
    <w:rsid w:val="003A7945"/>
    <w:rsid w:val="003B03D7"/>
    <w:rsid w:val="003B17FC"/>
    <w:rsid w:val="003C04E1"/>
    <w:rsid w:val="003C09E0"/>
    <w:rsid w:val="003C09FF"/>
    <w:rsid w:val="003C32BD"/>
    <w:rsid w:val="003C4E1C"/>
    <w:rsid w:val="003C66A0"/>
    <w:rsid w:val="003C69F0"/>
    <w:rsid w:val="003D1218"/>
    <w:rsid w:val="003D2259"/>
    <w:rsid w:val="003E7495"/>
    <w:rsid w:val="003E7B4D"/>
    <w:rsid w:val="003F0D07"/>
    <w:rsid w:val="003F6A45"/>
    <w:rsid w:val="00402CCE"/>
    <w:rsid w:val="004032EF"/>
    <w:rsid w:val="004042BE"/>
    <w:rsid w:val="00405175"/>
    <w:rsid w:val="00405DA7"/>
    <w:rsid w:val="004108B2"/>
    <w:rsid w:val="004109D1"/>
    <w:rsid w:val="00411B1F"/>
    <w:rsid w:val="0041475A"/>
    <w:rsid w:val="00417624"/>
    <w:rsid w:val="0041773F"/>
    <w:rsid w:val="004200F1"/>
    <w:rsid w:val="0042219C"/>
    <w:rsid w:val="0042617C"/>
    <w:rsid w:val="0042755E"/>
    <w:rsid w:val="00427CEA"/>
    <w:rsid w:val="00430208"/>
    <w:rsid w:val="004415C0"/>
    <w:rsid w:val="00450D18"/>
    <w:rsid w:val="0045149F"/>
    <w:rsid w:val="004536A0"/>
    <w:rsid w:val="00454CAE"/>
    <w:rsid w:val="00461647"/>
    <w:rsid w:val="00461EDC"/>
    <w:rsid w:val="00461F0F"/>
    <w:rsid w:val="00466ADB"/>
    <w:rsid w:val="00482239"/>
    <w:rsid w:val="00484130"/>
    <w:rsid w:val="00484ADB"/>
    <w:rsid w:val="00490279"/>
    <w:rsid w:val="00491236"/>
    <w:rsid w:val="00491E39"/>
    <w:rsid w:val="00492DCF"/>
    <w:rsid w:val="00495001"/>
    <w:rsid w:val="00496732"/>
    <w:rsid w:val="004A2443"/>
    <w:rsid w:val="004A3BFE"/>
    <w:rsid w:val="004A48E9"/>
    <w:rsid w:val="004A4FA5"/>
    <w:rsid w:val="004A639D"/>
    <w:rsid w:val="004B6A94"/>
    <w:rsid w:val="004B7149"/>
    <w:rsid w:val="004C2403"/>
    <w:rsid w:val="004C33AA"/>
    <w:rsid w:val="004C61D0"/>
    <w:rsid w:val="004F23CD"/>
    <w:rsid w:val="004F45C1"/>
    <w:rsid w:val="00504573"/>
    <w:rsid w:val="00507686"/>
    <w:rsid w:val="00507A25"/>
    <w:rsid w:val="0051480F"/>
    <w:rsid w:val="005153CD"/>
    <w:rsid w:val="0051757B"/>
    <w:rsid w:val="00520488"/>
    <w:rsid w:val="00520660"/>
    <w:rsid w:val="00522C15"/>
    <w:rsid w:val="00522D05"/>
    <w:rsid w:val="0052395D"/>
    <w:rsid w:val="00526A2D"/>
    <w:rsid w:val="00526FB6"/>
    <w:rsid w:val="00536F40"/>
    <w:rsid w:val="005419F9"/>
    <w:rsid w:val="005462C2"/>
    <w:rsid w:val="00551F17"/>
    <w:rsid w:val="0055249D"/>
    <w:rsid w:val="00555111"/>
    <w:rsid w:val="00570A48"/>
    <w:rsid w:val="00571A21"/>
    <w:rsid w:val="005748DD"/>
    <w:rsid w:val="0058188A"/>
    <w:rsid w:val="00586FF0"/>
    <w:rsid w:val="005969A7"/>
    <w:rsid w:val="005979AD"/>
    <w:rsid w:val="00597E72"/>
    <w:rsid w:val="005A0CDD"/>
    <w:rsid w:val="005A4988"/>
    <w:rsid w:val="005A4ACB"/>
    <w:rsid w:val="005A60B9"/>
    <w:rsid w:val="005A6614"/>
    <w:rsid w:val="005B06FC"/>
    <w:rsid w:val="005B2064"/>
    <w:rsid w:val="005B7001"/>
    <w:rsid w:val="005C37DE"/>
    <w:rsid w:val="005C5CED"/>
    <w:rsid w:val="005C7B51"/>
    <w:rsid w:val="005D6062"/>
    <w:rsid w:val="005E22B8"/>
    <w:rsid w:val="005E7D58"/>
    <w:rsid w:val="005F674F"/>
    <w:rsid w:val="005F6821"/>
    <w:rsid w:val="005F717F"/>
    <w:rsid w:val="005F781A"/>
    <w:rsid w:val="00602A36"/>
    <w:rsid w:val="00605307"/>
    <w:rsid w:val="00605E50"/>
    <w:rsid w:val="00610B24"/>
    <w:rsid w:val="00613C23"/>
    <w:rsid w:val="00616086"/>
    <w:rsid w:val="00621761"/>
    <w:rsid w:val="00625C67"/>
    <w:rsid w:val="00626C43"/>
    <w:rsid w:val="00635440"/>
    <w:rsid w:val="00636C27"/>
    <w:rsid w:val="00636E5E"/>
    <w:rsid w:val="00642064"/>
    <w:rsid w:val="00642C13"/>
    <w:rsid w:val="00643A90"/>
    <w:rsid w:val="006460CE"/>
    <w:rsid w:val="006472BC"/>
    <w:rsid w:val="00647B11"/>
    <w:rsid w:val="00650A6D"/>
    <w:rsid w:val="00654691"/>
    <w:rsid w:val="00655FB1"/>
    <w:rsid w:val="006616EC"/>
    <w:rsid w:val="00661C4F"/>
    <w:rsid w:val="006633F9"/>
    <w:rsid w:val="00663754"/>
    <w:rsid w:val="0066780F"/>
    <w:rsid w:val="00667DCC"/>
    <w:rsid w:val="00670016"/>
    <w:rsid w:val="00670F80"/>
    <w:rsid w:val="006720FB"/>
    <w:rsid w:val="00676ED5"/>
    <w:rsid w:val="00677494"/>
    <w:rsid w:val="00681C62"/>
    <w:rsid w:val="00682734"/>
    <w:rsid w:val="00685458"/>
    <w:rsid w:val="006923DB"/>
    <w:rsid w:val="00696450"/>
    <w:rsid w:val="006A3BB4"/>
    <w:rsid w:val="006A6355"/>
    <w:rsid w:val="006A7C08"/>
    <w:rsid w:val="006B0063"/>
    <w:rsid w:val="006C04B8"/>
    <w:rsid w:val="006D7897"/>
    <w:rsid w:val="006D7D28"/>
    <w:rsid w:val="006E25C5"/>
    <w:rsid w:val="006E4033"/>
    <w:rsid w:val="006E4814"/>
    <w:rsid w:val="006E60B0"/>
    <w:rsid w:val="006F077E"/>
    <w:rsid w:val="006F571E"/>
    <w:rsid w:val="00703719"/>
    <w:rsid w:val="00703D14"/>
    <w:rsid w:val="0070623C"/>
    <w:rsid w:val="007115DE"/>
    <w:rsid w:val="007129CC"/>
    <w:rsid w:val="00720D9A"/>
    <w:rsid w:val="0072258C"/>
    <w:rsid w:val="00724A82"/>
    <w:rsid w:val="00727CC8"/>
    <w:rsid w:val="00732DC5"/>
    <w:rsid w:val="00741CD3"/>
    <w:rsid w:val="0074385F"/>
    <w:rsid w:val="00743E9C"/>
    <w:rsid w:val="007475B1"/>
    <w:rsid w:val="007477F0"/>
    <w:rsid w:val="00755643"/>
    <w:rsid w:val="00757E81"/>
    <w:rsid w:val="007606ED"/>
    <w:rsid w:val="007616B7"/>
    <w:rsid w:val="007628BD"/>
    <w:rsid w:val="00765F9C"/>
    <w:rsid w:val="007700EF"/>
    <w:rsid w:val="007742C9"/>
    <w:rsid w:val="00776508"/>
    <w:rsid w:val="00780222"/>
    <w:rsid w:val="00781D23"/>
    <w:rsid w:val="00782F2C"/>
    <w:rsid w:val="00783196"/>
    <w:rsid w:val="00783DFD"/>
    <w:rsid w:val="00787074"/>
    <w:rsid w:val="00787301"/>
    <w:rsid w:val="00794C67"/>
    <w:rsid w:val="00797C41"/>
    <w:rsid w:val="007A07F0"/>
    <w:rsid w:val="007A0F73"/>
    <w:rsid w:val="007A5556"/>
    <w:rsid w:val="007A68D3"/>
    <w:rsid w:val="007B05A8"/>
    <w:rsid w:val="007B4253"/>
    <w:rsid w:val="007C22BD"/>
    <w:rsid w:val="007C2A9A"/>
    <w:rsid w:val="007C647F"/>
    <w:rsid w:val="007C687B"/>
    <w:rsid w:val="007C7B08"/>
    <w:rsid w:val="007D064E"/>
    <w:rsid w:val="007D1B80"/>
    <w:rsid w:val="007D2655"/>
    <w:rsid w:val="007D3077"/>
    <w:rsid w:val="007D4847"/>
    <w:rsid w:val="007D67A7"/>
    <w:rsid w:val="007E59CF"/>
    <w:rsid w:val="007F3E09"/>
    <w:rsid w:val="008003B1"/>
    <w:rsid w:val="0080046B"/>
    <w:rsid w:val="00800F77"/>
    <w:rsid w:val="008036D5"/>
    <w:rsid w:val="008130A3"/>
    <w:rsid w:val="008137A7"/>
    <w:rsid w:val="0081589A"/>
    <w:rsid w:val="00815EE7"/>
    <w:rsid w:val="00820C70"/>
    <w:rsid w:val="0082672B"/>
    <w:rsid w:val="008307B8"/>
    <w:rsid w:val="00831868"/>
    <w:rsid w:val="0083338B"/>
    <w:rsid w:val="008344A0"/>
    <w:rsid w:val="00835584"/>
    <w:rsid w:val="0084139A"/>
    <w:rsid w:val="008450DD"/>
    <w:rsid w:val="0085185F"/>
    <w:rsid w:val="00860AA8"/>
    <w:rsid w:val="00864A12"/>
    <w:rsid w:val="00865384"/>
    <w:rsid w:val="00870E12"/>
    <w:rsid w:val="0087386D"/>
    <w:rsid w:val="00886601"/>
    <w:rsid w:val="00890B36"/>
    <w:rsid w:val="00892875"/>
    <w:rsid w:val="00892ED6"/>
    <w:rsid w:val="008931DE"/>
    <w:rsid w:val="008946AF"/>
    <w:rsid w:val="00895AA0"/>
    <w:rsid w:val="00896C77"/>
    <w:rsid w:val="0089730E"/>
    <w:rsid w:val="008A1B04"/>
    <w:rsid w:val="008A7D0A"/>
    <w:rsid w:val="008C1A87"/>
    <w:rsid w:val="008C7D3D"/>
    <w:rsid w:val="008D0E9A"/>
    <w:rsid w:val="008D3E29"/>
    <w:rsid w:val="008D6975"/>
    <w:rsid w:val="008E45CB"/>
    <w:rsid w:val="008F0624"/>
    <w:rsid w:val="008F5158"/>
    <w:rsid w:val="008F5BC9"/>
    <w:rsid w:val="00900312"/>
    <w:rsid w:val="0090052C"/>
    <w:rsid w:val="00900F74"/>
    <w:rsid w:val="00905C42"/>
    <w:rsid w:val="0091109C"/>
    <w:rsid w:val="00920FF6"/>
    <w:rsid w:val="009213B1"/>
    <w:rsid w:val="00925EDB"/>
    <w:rsid w:val="00926777"/>
    <w:rsid w:val="00930AF8"/>
    <w:rsid w:val="00942AC0"/>
    <w:rsid w:val="00943D1E"/>
    <w:rsid w:val="00945AAC"/>
    <w:rsid w:val="00946D9A"/>
    <w:rsid w:val="009604F8"/>
    <w:rsid w:val="009616B6"/>
    <w:rsid w:val="00962341"/>
    <w:rsid w:val="0096475C"/>
    <w:rsid w:val="0097024C"/>
    <w:rsid w:val="009712D3"/>
    <w:rsid w:val="00974AEE"/>
    <w:rsid w:val="0098040D"/>
    <w:rsid w:val="00981C67"/>
    <w:rsid w:val="00982751"/>
    <w:rsid w:val="0098764D"/>
    <w:rsid w:val="00987C27"/>
    <w:rsid w:val="00996014"/>
    <w:rsid w:val="009964C2"/>
    <w:rsid w:val="00996B36"/>
    <w:rsid w:val="009A467F"/>
    <w:rsid w:val="009A67D0"/>
    <w:rsid w:val="009A7425"/>
    <w:rsid w:val="009B3077"/>
    <w:rsid w:val="009B4B6B"/>
    <w:rsid w:val="009C1076"/>
    <w:rsid w:val="009C353A"/>
    <w:rsid w:val="009C4001"/>
    <w:rsid w:val="009C6111"/>
    <w:rsid w:val="009C66FF"/>
    <w:rsid w:val="009C6CCA"/>
    <w:rsid w:val="009D292B"/>
    <w:rsid w:val="009D2D69"/>
    <w:rsid w:val="009D7665"/>
    <w:rsid w:val="009E3197"/>
    <w:rsid w:val="009E3B41"/>
    <w:rsid w:val="009E3FDC"/>
    <w:rsid w:val="009E48E5"/>
    <w:rsid w:val="009E5716"/>
    <w:rsid w:val="009E64B3"/>
    <w:rsid w:val="009F0077"/>
    <w:rsid w:val="009F380B"/>
    <w:rsid w:val="009F4144"/>
    <w:rsid w:val="009F7157"/>
    <w:rsid w:val="00A030A4"/>
    <w:rsid w:val="00A073FE"/>
    <w:rsid w:val="00A07775"/>
    <w:rsid w:val="00A10CF5"/>
    <w:rsid w:val="00A11AE8"/>
    <w:rsid w:val="00A13A67"/>
    <w:rsid w:val="00A2212E"/>
    <w:rsid w:val="00A31656"/>
    <w:rsid w:val="00A3333F"/>
    <w:rsid w:val="00A34DD0"/>
    <w:rsid w:val="00A36681"/>
    <w:rsid w:val="00A368F0"/>
    <w:rsid w:val="00A45364"/>
    <w:rsid w:val="00A46D9C"/>
    <w:rsid w:val="00A47C90"/>
    <w:rsid w:val="00A5199A"/>
    <w:rsid w:val="00A5357B"/>
    <w:rsid w:val="00A542FD"/>
    <w:rsid w:val="00A5756C"/>
    <w:rsid w:val="00A61FB5"/>
    <w:rsid w:val="00A63852"/>
    <w:rsid w:val="00A654E3"/>
    <w:rsid w:val="00A6569D"/>
    <w:rsid w:val="00A662AA"/>
    <w:rsid w:val="00A7373C"/>
    <w:rsid w:val="00A74A69"/>
    <w:rsid w:val="00A75098"/>
    <w:rsid w:val="00A762D1"/>
    <w:rsid w:val="00A83889"/>
    <w:rsid w:val="00A87847"/>
    <w:rsid w:val="00A90A82"/>
    <w:rsid w:val="00A917DC"/>
    <w:rsid w:val="00AA1E5C"/>
    <w:rsid w:val="00AA34DE"/>
    <w:rsid w:val="00AA4412"/>
    <w:rsid w:val="00AA4462"/>
    <w:rsid w:val="00AB25B9"/>
    <w:rsid w:val="00AB2B6E"/>
    <w:rsid w:val="00AB3C14"/>
    <w:rsid w:val="00AB44E5"/>
    <w:rsid w:val="00AB5334"/>
    <w:rsid w:val="00AC0F94"/>
    <w:rsid w:val="00AC506F"/>
    <w:rsid w:val="00AC74DA"/>
    <w:rsid w:val="00AD022B"/>
    <w:rsid w:val="00AD0FE0"/>
    <w:rsid w:val="00AD146E"/>
    <w:rsid w:val="00AD4C62"/>
    <w:rsid w:val="00AD62D0"/>
    <w:rsid w:val="00AE7CE2"/>
    <w:rsid w:val="00AF15AB"/>
    <w:rsid w:val="00AF3045"/>
    <w:rsid w:val="00AF56DC"/>
    <w:rsid w:val="00B0025E"/>
    <w:rsid w:val="00B005DC"/>
    <w:rsid w:val="00B00B61"/>
    <w:rsid w:val="00B02C2E"/>
    <w:rsid w:val="00B14285"/>
    <w:rsid w:val="00B20A89"/>
    <w:rsid w:val="00B2115A"/>
    <w:rsid w:val="00B30A52"/>
    <w:rsid w:val="00B35123"/>
    <w:rsid w:val="00B37D5E"/>
    <w:rsid w:val="00B42ADF"/>
    <w:rsid w:val="00B50D67"/>
    <w:rsid w:val="00B53467"/>
    <w:rsid w:val="00B5444B"/>
    <w:rsid w:val="00B56691"/>
    <w:rsid w:val="00B664AE"/>
    <w:rsid w:val="00B71666"/>
    <w:rsid w:val="00B71E97"/>
    <w:rsid w:val="00B756B8"/>
    <w:rsid w:val="00B805E5"/>
    <w:rsid w:val="00B80FCF"/>
    <w:rsid w:val="00B81DD1"/>
    <w:rsid w:val="00B82630"/>
    <w:rsid w:val="00B93E76"/>
    <w:rsid w:val="00B94382"/>
    <w:rsid w:val="00B9757B"/>
    <w:rsid w:val="00BA2A4A"/>
    <w:rsid w:val="00BA544A"/>
    <w:rsid w:val="00BC0687"/>
    <w:rsid w:val="00BC2636"/>
    <w:rsid w:val="00BC314C"/>
    <w:rsid w:val="00BC3BFC"/>
    <w:rsid w:val="00BC3D94"/>
    <w:rsid w:val="00BC5B9E"/>
    <w:rsid w:val="00BD0EEC"/>
    <w:rsid w:val="00BD76F8"/>
    <w:rsid w:val="00BE02A7"/>
    <w:rsid w:val="00BE03AF"/>
    <w:rsid w:val="00BE1276"/>
    <w:rsid w:val="00BE5ADE"/>
    <w:rsid w:val="00BF4BC8"/>
    <w:rsid w:val="00C03F70"/>
    <w:rsid w:val="00C07189"/>
    <w:rsid w:val="00C10447"/>
    <w:rsid w:val="00C1344B"/>
    <w:rsid w:val="00C1414B"/>
    <w:rsid w:val="00C144CE"/>
    <w:rsid w:val="00C148EB"/>
    <w:rsid w:val="00C167DE"/>
    <w:rsid w:val="00C20D5A"/>
    <w:rsid w:val="00C24C1D"/>
    <w:rsid w:val="00C256F5"/>
    <w:rsid w:val="00C32323"/>
    <w:rsid w:val="00C32601"/>
    <w:rsid w:val="00C3523F"/>
    <w:rsid w:val="00C35A2C"/>
    <w:rsid w:val="00C368FC"/>
    <w:rsid w:val="00C379DE"/>
    <w:rsid w:val="00C419CA"/>
    <w:rsid w:val="00C456CA"/>
    <w:rsid w:val="00C52356"/>
    <w:rsid w:val="00C52551"/>
    <w:rsid w:val="00C54384"/>
    <w:rsid w:val="00C55CDF"/>
    <w:rsid w:val="00C56D2B"/>
    <w:rsid w:val="00C61CCC"/>
    <w:rsid w:val="00C66E51"/>
    <w:rsid w:val="00C73F34"/>
    <w:rsid w:val="00C75A20"/>
    <w:rsid w:val="00C76448"/>
    <w:rsid w:val="00C80111"/>
    <w:rsid w:val="00C8012B"/>
    <w:rsid w:val="00C83C2C"/>
    <w:rsid w:val="00C92BA3"/>
    <w:rsid w:val="00C94316"/>
    <w:rsid w:val="00C97401"/>
    <w:rsid w:val="00CA12E2"/>
    <w:rsid w:val="00CA43E2"/>
    <w:rsid w:val="00CA6CC7"/>
    <w:rsid w:val="00CC0148"/>
    <w:rsid w:val="00CC2376"/>
    <w:rsid w:val="00CD230B"/>
    <w:rsid w:val="00CD5E89"/>
    <w:rsid w:val="00CE5676"/>
    <w:rsid w:val="00CF3716"/>
    <w:rsid w:val="00CF5AE7"/>
    <w:rsid w:val="00CF797D"/>
    <w:rsid w:val="00D05C80"/>
    <w:rsid w:val="00D13C61"/>
    <w:rsid w:val="00D1568F"/>
    <w:rsid w:val="00D22377"/>
    <w:rsid w:val="00D251C4"/>
    <w:rsid w:val="00D26D2C"/>
    <w:rsid w:val="00D40413"/>
    <w:rsid w:val="00D42F1E"/>
    <w:rsid w:val="00D44E8C"/>
    <w:rsid w:val="00D46528"/>
    <w:rsid w:val="00D50B96"/>
    <w:rsid w:val="00D512D0"/>
    <w:rsid w:val="00D5195D"/>
    <w:rsid w:val="00D524F7"/>
    <w:rsid w:val="00D706EC"/>
    <w:rsid w:val="00D71EC1"/>
    <w:rsid w:val="00D726DB"/>
    <w:rsid w:val="00D803A3"/>
    <w:rsid w:val="00D81945"/>
    <w:rsid w:val="00D87307"/>
    <w:rsid w:val="00D87C8D"/>
    <w:rsid w:val="00D90EA5"/>
    <w:rsid w:val="00D976C8"/>
    <w:rsid w:val="00DB2A6B"/>
    <w:rsid w:val="00DB464B"/>
    <w:rsid w:val="00DC18E9"/>
    <w:rsid w:val="00DC3BE1"/>
    <w:rsid w:val="00DC3BFE"/>
    <w:rsid w:val="00DC4B98"/>
    <w:rsid w:val="00DC4E73"/>
    <w:rsid w:val="00DD134F"/>
    <w:rsid w:val="00DD19E6"/>
    <w:rsid w:val="00DE3FB9"/>
    <w:rsid w:val="00DE6904"/>
    <w:rsid w:val="00DF06E9"/>
    <w:rsid w:val="00DF3961"/>
    <w:rsid w:val="00DF42FF"/>
    <w:rsid w:val="00DF5C11"/>
    <w:rsid w:val="00DF77D4"/>
    <w:rsid w:val="00E01175"/>
    <w:rsid w:val="00E06D43"/>
    <w:rsid w:val="00E106C5"/>
    <w:rsid w:val="00E12F3A"/>
    <w:rsid w:val="00E137E8"/>
    <w:rsid w:val="00E15A60"/>
    <w:rsid w:val="00E17E77"/>
    <w:rsid w:val="00E213EC"/>
    <w:rsid w:val="00E22091"/>
    <w:rsid w:val="00E2376D"/>
    <w:rsid w:val="00E25F52"/>
    <w:rsid w:val="00E26A0E"/>
    <w:rsid w:val="00E44C20"/>
    <w:rsid w:val="00E45133"/>
    <w:rsid w:val="00E53B8D"/>
    <w:rsid w:val="00E53CB2"/>
    <w:rsid w:val="00E64243"/>
    <w:rsid w:val="00E75B6D"/>
    <w:rsid w:val="00E7767F"/>
    <w:rsid w:val="00E77749"/>
    <w:rsid w:val="00E8295C"/>
    <w:rsid w:val="00E90955"/>
    <w:rsid w:val="00E949B8"/>
    <w:rsid w:val="00EA1A9D"/>
    <w:rsid w:val="00EA1C31"/>
    <w:rsid w:val="00EA1CE6"/>
    <w:rsid w:val="00EA20B5"/>
    <w:rsid w:val="00EA48CE"/>
    <w:rsid w:val="00EB0FB9"/>
    <w:rsid w:val="00EB0FE5"/>
    <w:rsid w:val="00EB2BF3"/>
    <w:rsid w:val="00EB3C09"/>
    <w:rsid w:val="00EB4151"/>
    <w:rsid w:val="00EB7D63"/>
    <w:rsid w:val="00ED7294"/>
    <w:rsid w:val="00ED7390"/>
    <w:rsid w:val="00EE0116"/>
    <w:rsid w:val="00EE018B"/>
    <w:rsid w:val="00EE0E25"/>
    <w:rsid w:val="00EE42AB"/>
    <w:rsid w:val="00EF33B3"/>
    <w:rsid w:val="00EF640F"/>
    <w:rsid w:val="00F035A0"/>
    <w:rsid w:val="00F038A4"/>
    <w:rsid w:val="00F04378"/>
    <w:rsid w:val="00F12E31"/>
    <w:rsid w:val="00F1488C"/>
    <w:rsid w:val="00F1727C"/>
    <w:rsid w:val="00F2041E"/>
    <w:rsid w:val="00F209B5"/>
    <w:rsid w:val="00F25E7F"/>
    <w:rsid w:val="00F26718"/>
    <w:rsid w:val="00F270EF"/>
    <w:rsid w:val="00F27A84"/>
    <w:rsid w:val="00F33CA1"/>
    <w:rsid w:val="00F3551D"/>
    <w:rsid w:val="00F37BF6"/>
    <w:rsid w:val="00F429F1"/>
    <w:rsid w:val="00F4473E"/>
    <w:rsid w:val="00F5260D"/>
    <w:rsid w:val="00F62D2B"/>
    <w:rsid w:val="00F640BB"/>
    <w:rsid w:val="00F72931"/>
    <w:rsid w:val="00F73EA2"/>
    <w:rsid w:val="00F76786"/>
    <w:rsid w:val="00F767CF"/>
    <w:rsid w:val="00F77740"/>
    <w:rsid w:val="00F82059"/>
    <w:rsid w:val="00F84024"/>
    <w:rsid w:val="00F92333"/>
    <w:rsid w:val="00FA1E45"/>
    <w:rsid w:val="00FA3627"/>
    <w:rsid w:val="00FA4344"/>
    <w:rsid w:val="00FA4384"/>
    <w:rsid w:val="00FA6315"/>
    <w:rsid w:val="00FB4999"/>
    <w:rsid w:val="00FB4F59"/>
    <w:rsid w:val="00FC129D"/>
    <w:rsid w:val="00FC12CA"/>
    <w:rsid w:val="00FC6733"/>
    <w:rsid w:val="00FC7F04"/>
    <w:rsid w:val="00FD03C8"/>
    <w:rsid w:val="00FD38B7"/>
    <w:rsid w:val="00FD55ED"/>
    <w:rsid w:val="00FE5926"/>
    <w:rsid w:val="00FE6D8C"/>
    <w:rsid w:val="00FE79E0"/>
    <w:rsid w:val="00FF263F"/>
    <w:rsid w:val="00FF2725"/>
    <w:rsid w:val="00FF622A"/>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EF6EB"/>
  <w15:chartTrackingRefBased/>
  <w15:docId w15:val="{DD379F86-9F59-4962-83FC-85FEE514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C9"/>
    <w:pPr>
      <w:spacing w:after="200" w:line="276" w:lineRule="auto"/>
    </w:pPr>
    <w:rPr>
      <w:sz w:val="22"/>
      <w:szCs w:val="22"/>
      <w:lang w:val="en-US" w:eastAsia="en-US"/>
    </w:rPr>
  </w:style>
  <w:style w:type="paragraph" w:styleId="Heading1">
    <w:name w:val="heading 1"/>
    <w:aliases w:val="RR level 1"/>
    <w:basedOn w:val="Normal"/>
    <w:next w:val="Heading2"/>
    <w:link w:val="Heading1Char"/>
    <w:uiPriority w:val="9"/>
    <w:qFormat/>
    <w:rsid w:val="00621761"/>
    <w:pPr>
      <w:keepNext/>
      <w:numPr>
        <w:numId w:val="1"/>
      </w:numPr>
      <w:spacing w:before="200" w:after="60" w:line="240" w:lineRule="auto"/>
      <w:outlineLvl w:val="0"/>
    </w:pPr>
    <w:rPr>
      <w:rFonts w:ascii="Cambria" w:hAnsi="Cambria"/>
      <w:b/>
      <w:bCs/>
      <w:kern w:val="32"/>
      <w:sz w:val="32"/>
      <w:szCs w:val="32"/>
      <w:lang w:val="en-GB" w:eastAsia="x-none"/>
    </w:rPr>
  </w:style>
  <w:style w:type="paragraph" w:styleId="Heading2">
    <w:name w:val="heading 2"/>
    <w:aliases w:val="RR level 2"/>
    <w:basedOn w:val="Normal"/>
    <w:link w:val="Heading2Char"/>
    <w:uiPriority w:val="9"/>
    <w:qFormat/>
    <w:rsid w:val="00621761"/>
    <w:pPr>
      <w:keepNext/>
      <w:numPr>
        <w:ilvl w:val="1"/>
        <w:numId w:val="1"/>
      </w:numPr>
      <w:spacing w:before="200" w:after="60" w:line="240" w:lineRule="auto"/>
      <w:outlineLvl w:val="1"/>
    </w:pPr>
    <w:rPr>
      <w:rFonts w:ascii="Cambria" w:hAnsi="Cambria"/>
      <w:b/>
      <w:bCs/>
      <w:i/>
      <w:iCs/>
      <w:sz w:val="28"/>
      <w:szCs w:val="28"/>
      <w:lang w:val="en-GB" w:eastAsia="x-none"/>
    </w:rPr>
  </w:style>
  <w:style w:type="paragraph" w:styleId="Heading3">
    <w:name w:val="heading 3"/>
    <w:aliases w:val="RR level 3"/>
    <w:basedOn w:val="Normal"/>
    <w:link w:val="Heading3Char"/>
    <w:uiPriority w:val="9"/>
    <w:qFormat/>
    <w:rsid w:val="00621761"/>
    <w:pPr>
      <w:numPr>
        <w:ilvl w:val="2"/>
        <w:numId w:val="1"/>
      </w:numPr>
      <w:spacing w:before="120" w:after="60" w:line="240" w:lineRule="auto"/>
      <w:outlineLvl w:val="2"/>
    </w:pPr>
    <w:rPr>
      <w:rFonts w:ascii="Cambria" w:hAnsi="Cambria"/>
      <w:b/>
      <w:bCs/>
      <w:sz w:val="26"/>
      <w:szCs w:val="26"/>
      <w:lang w:val="en-GB" w:eastAsia="x-none"/>
    </w:rPr>
  </w:style>
  <w:style w:type="paragraph" w:styleId="Heading4">
    <w:name w:val="heading 4"/>
    <w:basedOn w:val="Normal"/>
    <w:next w:val="Normal"/>
    <w:link w:val="Heading4Char"/>
    <w:uiPriority w:val="9"/>
    <w:unhideWhenUsed/>
    <w:qFormat/>
    <w:rsid w:val="00FE6D8C"/>
    <w:pPr>
      <w:keepNext/>
      <w:keepLines/>
      <w:spacing w:before="200" w:after="0"/>
      <w:outlineLvl w:val="3"/>
    </w:pPr>
    <w:rPr>
      <w:rFonts w:ascii="Cambria"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link w:val="Heading1"/>
    <w:uiPriority w:val="9"/>
    <w:rsid w:val="00621761"/>
    <w:rPr>
      <w:rFonts w:ascii="Cambria" w:hAnsi="Cambria"/>
      <w:b/>
      <w:bCs/>
      <w:kern w:val="32"/>
      <w:sz w:val="32"/>
      <w:szCs w:val="32"/>
      <w:lang w:val="en-GB" w:eastAsia="x-none"/>
    </w:rPr>
  </w:style>
  <w:style w:type="character" w:customStyle="1" w:styleId="Heading2Char">
    <w:name w:val="Heading 2 Char"/>
    <w:aliases w:val="RR level 2 Char"/>
    <w:link w:val="Heading2"/>
    <w:uiPriority w:val="9"/>
    <w:rsid w:val="00621761"/>
    <w:rPr>
      <w:rFonts w:ascii="Cambria" w:hAnsi="Cambria"/>
      <w:b/>
      <w:bCs/>
      <w:i/>
      <w:iCs/>
      <w:sz w:val="28"/>
      <w:szCs w:val="28"/>
      <w:lang w:val="en-GB" w:eastAsia="x-none"/>
    </w:rPr>
  </w:style>
  <w:style w:type="character" w:customStyle="1" w:styleId="Heading3Char">
    <w:name w:val="Heading 3 Char"/>
    <w:aliases w:val="RR level 3 Char"/>
    <w:link w:val="Heading3"/>
    <w:uiPriority w:val="9"/>
    <w:rsid w:val="00621761"/>
    <w:rPr>
      <w:rFonts w:ascii="Cambria" w:hAnsi="Cambria"/>
      <w:b/>
      <w:bCs/>
      <w:sz w:val="26"/>
      <w:szCs w:val="26"/>
      <w:lang w:val="en-GB" w:eastAsia="x-none"/>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2"/>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2"/>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2"/>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2"/>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2"/>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2"/>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sz w:val="24"/>
      <w:szCs w:val="24"/>
      <w:lang w:val="x-none" w:eastAsia="x-none"/>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val="en-US" w:eastAsia="en-US"/>
    </w:rPr>
  </w:style>
  <w:style w:type="character" w:styleId="CommentReference">
    <w:name w:val="annotation reference"/>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lang w:val="x-none" w:eastAsia="x-none"/>
    </w:rPr>
  </w:style>
  <w:style w:type="character" w:customStyle="1" w:styleId="CommentTextChar">
    <w:name w:val="Comment Text Char"/>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lang w:val="x-none" w:eastAsia="x-none"/>
    </w:rPr>
  </w:style>
  <w:style w:type="character" w:customStyle="1" w:styleId="FootnoteTextChar1">
    <w:name w:val="Footnote Text Char1"/>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List Bullet Mary,List Paragraph Char Char Char,List Paragraph nowy"/>
    <w:basedOn w:val="Normal"/>
    <w:link w:val="ListParagraphChar"/>
    <w:uiPriority w:val="34"/>
    <w:qFormat/>
    <w:rsid w:val="005969A7"/>
    <w:pPr>
      <w:spacing w:after="0" w:line="240" w:lineRule="auto"/>
      <w:ind w:left="720"/>
      <w:contextualSpacing/>
    </w:pPr>
    <w:rPr>
      <w:sz w:val="24"/>
      <w:szCs w:val="24"/>
      <w:lang w:val="x-none" w:eastAsia="x-none"/>
    </w:rPr>
  </w:style>
  <w:style w:type="character" w:styleId="FootnoteReference">
    <w:name w:val="footnote reference"/>
    <w:aliases w:val="ftref, BVI fnr,16 Point,BVI fnr,Footnote Reference Number,Footnote Reference_LVL6,Footnote Reference_LVL61,Footnote Reference_LVL62,Footnote Reference_LVL63,Footnote Reference_LVL64,Ref,Superscript 6 Point,footnote ref,Знак сноски-FN"/>
    <w:link w:val="BVIfnrCarCar"/>
    <w:uiPriority w:val="99"/>
    <w:unhideWhenUsed/>
    <w:qFormat/>
    <w:rsid w:val="005969A7"/>
    <w:rPr>
      <w:vertAlign w:val="superscript"/>
    </w:rPr>
  </w:style>
  <w:style w:type="character" w:styleId="Hyperlink">
    <w:name w:val="Hyperlink"/>
    <w:uiPriority w:val="99"/>
    <w:semiHidden/>
    <w:unhideWhenUsed/>
    <w:rsid w:val="005969A7"/>
    <w:rPr>
      <w:color w:val="0000FF"/>
      <w:u w:val="single"/>
    </w:rPr>
  </w:style>
  <w:style w:type="paragraph" w:customStyle="1" w:styleId="PDSHeading2">
    <w:name w:val="PDS Heading 2"/>
    <w:next w:val="Normal"/>
    <w:rsid w:val="00461647"/>
    <w:pPr>
      <w:keepNext/>
      <w:numPr>
        <w:ilvl w:val="1"/>
        <w:numId w:val="3"/>
      </w:numPr>
    </w:pPr>
    <w:rPr>
      <w:rFonts w:ascii="Times New Roman" w:hAnsi="Times New Roman"/>
      <w:b/>
      <w:sz w:val="24"/>
      <w:lang w:val="en-US" w:eastAsia="en-US"/>
    </w:rPr>
  </w:style>
  <w:style w:type="paragraph" w:customStyle="1" w:styleId="PDSHeading1">
    <w:name w:val="PDS Heading 1"/>
    <w:next w:val="PDSHeading2"/>
    <w:rsid w:val="00461647"/>
    <w:pPr>
      <w:keepNext/>
      <w:numPr>
        <w:numId w:val="3"/>
      </w:numPr>
      <w:outlineLvl w:val="0"/>
    </w:pPr>
    <w:rPr>
      <w:rFonts w:ascii="Times New Roman" w:hAnsi="Times New Roman"/>
      <w:b/>
      <w:caps/>
      <w:sz w:val="24"/>
      <w:lang w:val="en-US" w:eastAsia="en-US"/>
    </w:rPr>
  </w:style>
  <w:style w:type="character" w:customStyle="1" w:styleId="Heading4Char">
    <w:name w:val="Heading 4 Char"/>
    <w:link w:val="Heading4"/>
    <w:uiPriority w:val="9"/>
    <w:rsid w:val="00FE6D8C"/>
    <w:rPr>
      <w:rFonts w:ascii="Cambria" w:eastAsia="Times New Roman" w:hAnsi="Cambria" w:cs="Times New Roman"/>
      <w:b/>
      <w:bCs/>
      <w:i/>
      <w:iCs/>
      <w:color w:val="4F81BD"/>
    </w:rPr>
  </w:style>
  <w:style w:type="table" w:styleId="TableGrid">
    <w:name w:val="Table Grid"/>
    <w:basedOn w:val="TableNormal"/>
    <w:uiPriority w:val="39"/>
    <w:rsid w:val="006E40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styleId="NormalWeb">
    <w:name w:val="Normal (Web)"/>
    <w:basedOn w:val="Normal"/>
    <w:uiPriority w:val="99"/>
    <w:semiHidden/>
    <w:unhideWhenUsed/>
    <w:rsid w:val="00B805E5"/>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B805E5"/>
    <w:pPr>
      <w:spacing w:before="100" w:beforeAutospacing="1" w:after="100" w:afterAutospacing="1" w:line="240" w:lineRule="auto"/>
    </w:pPr>
    <w:rPr>
      <w:rFonts w:ascii="Times New Roman" w:hAnsi="Times New Roman"/>
      <w:sz w:val="24"/>
      <w:szCs w:val="24"/>
    </w:rPr>
  </w:style>
  <w:style w:type="paragraph" w:customStyle="1" w:styleId="ecxmsonormal">
    <w:name w:val="ecxmsonormal"/>
    <w:basedOn w:val="Normal"/>
    <w:rsid w:val="00223D99"/>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223D99"/>
    <w:rPr>
      <w:b/>
      <w:bCs/>
    </w:rPr>
  </w:style>
  <w:style w:type="paragraph" w:styleId="BodyText2">
    <w:name w:val="Body Text 2"/>
    <w:basedOn w:val="Normal"/>
    <w:link w:val="BodyText2Char"/>
    <w:semiHidden/>
    <w:unhideWhenUsed/>
    <w:rsid w:val="007D67A7"/>
    <w:pPr>
      <w:spacing w:after="0" w:line="240" w:lineRule="auto"/>
      <w:jc w:val="both"/>
    </w:pPr>
    <w:rPr>
      <w:rFonts w:ascii="Times New Roman" w:hAnsi="Times New Roman"/>
      <w:sz w:val="24"/>
      <w:szCs w:val="24"/>
      <w:lang w:val="x-none" w:eastAsia="x-none"/>
    </w:rPr>
  </w:style>
  <w:style w:type="character" w:customStyle="1" w:styleId="BodyText2Char">
    <w:name w:val="Body Text 2 Char"/>
    <w:link w:val="BodyText2"/>
    <w:semiHidden/>
    <w:rsid w:val="007D67A7"/>
    <w:rPr>
      <w:rFonts w:ascii="Times New Roman" w:hAnsi="Times New Roman"/>
      <w:sz w:val="24"/>
      <w:szCs w:val="24"/>
    </w:rPr>
  </w:style>
  <w:style w:type="paragraph" w:customStyle="1" w:styleId="BankNormal">
    <w:name w:val="BankNormal"/>
    <w:basedOn w:val="Normal"/>
    <w:rsid w:val="007D67A7"/>
    <w:pPr>
      <w:spacing w:after="240" w:line="240" w:lineRule="auto"/>
    </w:pPr>
    <w:rPr>
      <w:rFonts w:ascii="Times New Roman" w:hAnsi="Times New Roman"/>
      <w:sz w:val="24"/>
      <w:szCs w:val="24"/>
    </w:rPr>
  </w:style>
  <w:style w:type="paragraph" w:customStyle="1" w:styleId="BVIfnrCarCar">
    <w:name w:val="BVI fnr Car Car"/>
    <w:aliases w:val=" BVI fnr Car Car Car Car Char,BVI fnr Car,BVI fnr Car Car Car Car Char"/>
    <w:basedOn w:val="Normal"/>
    <w:link w:val="FootnoteReference"/>
    <w:uiPriority w:val="99"/>
    <w:rsid w:val="00FD38B7"/>
    <w:pPr>
      <w:spacing w:after="160" w:line="240" w:lineRule="exact"/>
      <w:jc w:val="both"/>
    </w:pPr>
    <w:rPr>
      <w:sz w:val="20"/>
      <w:szCs w:val="20"/>
      <w:vertAlign w:val="superscript"/>
    </w:rPr>
  </w:style>
  <w:style w:type="character" w:customStyle="1" w:styleId="italic">
    <w:name w:val="italic"/>
    <w:basedOn w:val="DefaultParagraphFont"/>
    <w:rsid w:val="00FD38B7"/>
  </w:style>
  <w:style w:type="paragraph" w:styleId="EndnoteText">
    <w:name w:val="endnote text"/>
    <w:basedOn w:val="Normal"/>
    <w:link w:val="EndnoteTextChar"/>
    <w:uiPriority w:val="99"/>
    <w:semiHidden/>
    <w:unhideWhenUsed/>
    <w:rsid w:val="00F04378"/>
    <w:rPr>
      <w:sz w:val="20"/>
      <w:szCs w:val="20"/>
    </w:rPr>
  </w:style>
  <w:style w:type="character" w:customStyle="1" w:styleId="EndnoteTextChar">
    <w:name w:val="Endnote Text Char"/>
    <w:basedOn w:val="DefaultParagraphFont"/>
    <w:link w:val="EndnoteText"/>
    <w:uiPriority w:val="99"/>
    <w:semiHidden/>
    <w:rsid w:val="00F04378"/>
  </w:style>
  <w:style w:type="character" w:styleId="EndnoteReference">
    <w:name w:val="endnote reference"/>
    <w:uiPriority w:val="99"/>
    <w:semiHidden/>
    <w:unhideWhenUsed/>
    <w:rsid w:val="00F04378"/>
    <w:rPr>
      <w:vertAlign w:val="superscript"/>
    </w:rPr>
  </w:style>
  <w:style w:type="paragraph" w:styleId="Revision">
    <w:name w:val="Revision"/>
    <w:hidden/>
    <w:uiPriority w:val="99"/>
    <w:semiHidden/>
    <w:rsid w:val="009E3FDC"/>
    <w:rPr>
      <w:sz w:val="22"/>
      <w:szCs w:val="22"/>
      <w:lang w:val="en-US" w:eastAsia="en-US"/>
    </w:rPr>
  </w:style>
  <w:style w:type="character" w:styleId="Emphasis">
    <w:name w:val="Emphasis"/>
    <w:basedOn w:val="DefaultParagraphFont"/>
    <w:uiPriority w:val="20"/>
    <w:qFormat/>
    <w:rsid w:val="00AB2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6577">
      <w:bodyDiv w:val="1"/>
      <w:marLeft w:val="0"/>
      <w:marRight w:val="0"/>
      <w:marTop w:val="0"/>
      <w:marBottom w:val="0"/>
      <w:divBdr>
        <w:top w:val="none" w:sz="0" w:space="0" w:color="auto"/>
        <w:left w:val="none" w:sz="0" w:space="0" w:color="auto"/>
        <w:bottom w:val="none" w:sz="0" w:space="0" w:color="auto"/>
        <w:right w:val="none" w:sz="0" w:space="0" w:color="auto"/>
      </w:divBdr>
    </w:div>
    <w:div w:id="352734713">
      <w:bodyDiv w:val="1"/>
      <w:marLeft w:val="0"/>
      <w:marRight w:val="0"/>
      <w:marTop w:val="0"/>
      <w:marBottom w:val="0"/>
      <w:divBdr>
        <w:top w:val="none" w:sz="0" w:space="0" w:color="auto"/>
        <w:left w:val="none" w:sz="0" w:space="0" w:color="auto"/>
        <w:bottom w:val="none" w:sz="0" w:space="0" w:color="auto"/>
        <w:right w:val="none" w:sz="0" w:space="0" w:color="auto"/>
      </w:divBdr>
    </w:div>
    <w:div w:id="389882874">
      <w:bodyDiv w:val="1"/>
      <w:marLeft w:val="0"/>
      <w:marRight w:val="0"/>
      <w:marTop w:val="0"/>
      <w:marBottom w:val="0"/>
      <w:divBdr>
        <w:top w:val="none" w:sz="0" w:space="0" w:color="auto"/>
        <w:left w:val="none" w:sz="0" w:space="0" w:color="auto"/>
        <w:bottom w:val="none" w:sz="0" w:space="0" w:color="auto"/>
        <w:right w:val="none" w:sz="0" w:space="0" w:color="auto"/>
      </w:divBdr>
    </w:div>
    <w:div w:id="409734436">
      <w:bodyDiv w:val="1"/>
      <w:marLeft w:val="0"/>
      <w:marRight w:val="0"/>
      <w:marTop w:val="0"/>
      <w:marBottom w:val="0"/>
      <w:divBdr>
        <w:top w:val="none" w:sz="0" w:space="0" w:color="auto"/>
        <w:left w:val="none" w:sz="0" w:space="0" w:color="auto"/>
        <w:bottom w:val="none" w:sz="0" w:space="0" w:color="auto"/>
        <w:right w:val="none" w:sz="0" w:space="0" w:color="auto"/>
      </w:divBdr>
    </w:div>
    <w:div w:id="410930017">
      <w:bodyDiv w:val="1"/>
      <w:marLeft w:val="0"/>
      <w:marRight w:val="0"/>
      <w:marTop w:val="0"/>
      <w:marBottom w:val="0"/>
      <w:divBdr>
        <w:top w:val="none" w:sz="0" w:space="0" w:color="auto"/>
        <w:left w:val="none" w:sz="0" w:space="0" w:color="auto"/>
        <w:bottom w:val="none" w:sz="0" w:space="0" w:color="auto"/>
        <w:right w:val="none" w:sz="0" w:space="0" w:color="auto"/>
      </w:divBdr>
    </w:div>
    <w:div w:id="421604964">
      <w:bodyDiv w:val="1"/>
      <w:marLeft w:val="0"/>
      <w:marRight w:val="0"/>
      <w:marTop w:val="0"/>
      <w:marBottom w:val="0"/>
      <w:divBdr>
        <w:top w:val="none" w:sz="0" w:space="0" w:color="auto"/>
        <w:left w:val="none" w:sz="0" w:space="0" w:color="auto"/>
        <w:bottom w:val="none" w:sz="0" w:space="0" w:color="auto"/>
        <w:right w:val="none" w:sz="0" w:space="0" w:color="auto"/>
      </w:divBdr>
    </w:div>
    <w:div w:id="441458212">
      <w:bodyDiv w:val="1"/>
      <w:marLeft w:val="0"/>
      <w:marRight w:val="0"/>
      <w:marTop w:val="0"/>
      <w:marBottom w:val="0"/>
      <w:divBdr>
        <w:top w:val="none" w:sz="0" w:space="0" w:color="auto"/>
        <w:left w:val="none" w:sz="0" w:space="0" w:color="auto"/>
        <w:bottom w:val="none" w:sz="0" w:space="0" w:color="auto"/>
        <w:right w:val="none" w:sz="0" w:space="0" w:color="auto"/>
      </w:divBdr>
    </w:div>
    <w:div w:id="494228870">
      <w:bodyDiv w:val="1"/>
      <w:marLeft w:val="0"/>
      <w:marRight w:val="0"/>
      <w:marTop w:val="0"/>
      <w:marBottom w:val="0"/>
      <w:divBdr>
        <w:top w:val="none" w:sz="0" w:space="0" w:color="auto"/>
        <w:left w:val="none" w:sz="0" w:space="0" w:color="auto"/>
        <w:bottom w:val="none" w:sz="0" w:space="0" w:color="auto"/>
        <w:right w:val="none" w:sz="0" w:space="0" w:color="auto"/>
      </w:divBdr>
    </w:div>
    <w:div w:id="621694216">
      <w:bodyDiv w:val="1"/>
      <w:marLeft w:val="0"/>
      <w:marRight w:val="0"/>
      <w:marTop w:val="0"/>
      <w:marBottom w:val="0"/>
      <w:divBdr>
        <w:top w:val="none" w:sz="0" w:space="0" w:color="auto"/>
        <w:left w:val="none" w:sz="0" w:space="0" w:color="auto"/>
        <w:bottom w:val="none" w:sz="0" w:space="0" w:color="auto"/>
        <w:right w:val="none" w:sz="0" w:space="0" w:color="auto"/>
      </w:divBdr>
    </w:div>
    <w:div w:id="702097383">
      <w:bodyDiv w:val="1"/>
      <w:marLeft w:val="0"/>
      <w:marRight w:val="0"/>
      <w:marTop w:val="0"/>
      <w:marBottom w:val="0"/>
      <w:divBdr>
        <w:top w:val="none" w:sz="0" w:space="0" w:color="auto"/>
        <w:left w:val="none" w:sz="0" w:space="0" w:color="auto"/>
        <w:bottom w:val="none" w:sz="0" w:space="0" w:color="auto"/>
        <w:right w:val="none" w:sz="0" w:space="0" w:color="auto"/>
      </w:divBdr>
      <w:divsChild>
        <w:div w:id="63649487">
          <w:marLeft w:val="0"/>
          <w:marRight w:val="0"/>
          <w:marTop w:val="0"/>
          <w:marBottom w:val="0"/>
          <w:divBdr>
            <w:top w:val="none" w:sz="0" w:space="0" w:color="auto"/>
            <w:left w:val="none" w:sz="0" w:space="0" w:color="auto"/>
            <w:bottom w:val="none" w:sz="0" w:space="0" w:color="auto"/>
            <w:right w:val="none" w:sz="0" w:space="0" w:color="auto"/>
          </w:divBdr>
        </w:div>
        <w:div w:id="166940206">
          <w:marLeft w:val="0"/>
          <w:marRight w:val="0"/>
          <w:marTop w:val="0"/>
          <w:marBottom w:val="0"/>
          <w:divBdr>
            <w:top w:val="none" w:sz="0" w:space="0" w:color="auto"/>
            <w:left w:val="none" w:sz="0" w:space="0" w:color="auto"/>
            <w:bottom w:val="none" w:sz="0" w:space="0" w:color="auto"/>
            <w:right w:val="none" w:sz="0" w:space="0" w:color="auto"/>
          </w:divBdr>
        </w:div>
        <w:div w:id="259143348">
          <w:marLeft w:val="0"/>
          <w:marRight w:val="0"/>
          <w:marTop w:val="0"/>
          <w:marBottom w:val="0"/>
          <w:divBdr>
            <w:top w:val="none" w:sz="0" w:space="0" w:color="auto"/>
            <w:left w:val="none" w:sz="0" w:space="0" w:color="auto"/>
            <w:bottom w:val="none" w:sz="0" w:space="0" w:color="auto"/>
            <w:right w:val="none" w:sz="0" w:space="0" w:color="auto"/>
          </w:divBdr>
        </w:div>
        <w:div w:id="428279351">
          <w:marLeft w:val="0"/>
          <w:marRight w:val="0"/>
          <w:marTop w:val="0"/>
          <w:marBottom w:val="0"/>
          <w:divBdr>
            <w:top w:val="none" w:sz="0" w:space="0" w:color="auto"/>
            <w:left w:val="none" w:sz="0" w:space="0" w:color="auto"/>
            <w:bottom w:val="none" w:sz="0" w:space="0" w:color="auto"/>
            <w:right w:val="none" w:sz="0" w:space="0" w:color="auto"/>
          </w:divBdr>
        </w:div>
        <w:div w:id="430509798">
          <w:marLeft w:val="0"/>
          <w:marRight w:val="0"/>
          <w:marTop w:val="0"/>
          <w:marBottom w:val="0"/>
          <w:divBdr>
            <w:top w:val="none" w:sz="0" w:space="0" w:color="auto"/>
            <w:left w:val="none" w:sz="0" w:space="0" w:color="auto"/>
            <w:bottom w:val="none" w:sz="0" w:space="0" w:color="auto"/>
            <w:right w:val="none" w:sz="0" w:space="0" w:color="auto"/>
          </w:divBdr>
        </w:div>
        <w:div w:id="824785204">
          <w:marLeft w:val="0"/>
          <w:marRight w:val="0"/>
          <w:marTop w:val="0"/>
          <w:marBottom w:val="0"/>
          <w:divBdr>
            <w:top w:val="none" w:sz="0" w:space="0" w:color="auto"/>
            <w:left w:val="none" w:sz="0" w:space="0" w:color="auto"/>
            <w:bottom w:val="none" w:sz="0" w:space="0" w:color="auto"/>
            <w:right w:val="none" w:sz="0" w:space="0" w:color="auto"/>
          </w:divBdr>
        </w:div>
        <w:div w:id="964895068">
          <w:marLeft w:val="0"/>
          <w:marRight w:val="0"/>
          <w:marTop w:val="0"/>
          <w:marBottom w:val="0"/>
          <w:divBdr>
            <w:top w:val="none" w:sz="0" w:space="0" w:color="auto"/>
            <w:left w:val="none" w:sz="0" w:space="0" w:color="auto"/>
            <w:bottom w:val="none" w:sz="0" w:space="0" w:color="auto"/>
            <w:right w:val="none" w:sz="0" w:space="0" w:color="auto"/>
          </w:divBdr>
        </w:div>
        <w:div w:id="1092815835">
          <w:marLeft w:val="0"/>
          <w:marRight w:val="0"/>
          <w:marTop w:val="0"/>
          <w:marBottom w:val="0"/>
          <w:divBdr>
            <w:top w:val="none" w:sz="0" w:space="0" w:color="auto"/>
            <w:left w:val="none" w:sz="0" w:space="0" w:color="auto"/>
            <w:bottom w:val="none" w:sz="0" w:space="0" w:color="auto"/>
            <w:right w:val="none" w:sz="0" w:space="0" w:color="auto"/>
          </w:divBdr>
        </w:div>
        <w:div w:id="1350527697">
          <w:marLeft w:val="0"/>
          <w:marRight w:val="0"/>
          <w:marTop w:val="0"/>
          <w:marBottom w:val="0"/>
          <w:divBdr>
            <w:top w:val="none" w:sz="0" w:space="0" w:color="auto"/>
            <w:left w:val="none" w:sz="0" w:space="0" w:color="auto"/>
            <w:bottom w:val="none" w:sz="0" w:space="0" w:color="auto"/>
            <w:right w:val="none" w:sz="0" w:space="0" w:color="auto"/>
          </w:divBdr>
        </w:div>
        <w:div w:id="1360013764">
          <w:marLeft w:val="0"/>
          <w:marRight w:val="0"/>
          <w:marTop w:val="0"/>
          <w:marBottom w:val="0"/>
          <w:divBdr>
            <w:top w:val="none" w:sz="0" w:space="0" w:color="auto"/>
            <w:left w:val="none" w:sz="0" w:space="0" w:color="auto"/>
            <w:bottom w:val="none" w:sz="0" w:space="0" w:color="auto"/>
            <w:right w:val="none" w:sz="0" w:space="0" w:color="auto"/>
          </w:divBdr>
        </w:div>
        <w:div w:id="1462382231">
          <w:marLeft w:val="0"/>
          <w:marRight w:val="0"/>
          <w:marTop w:val="0"/>
          <w:marBottom w:val="0"/>
          <w:divBdr>
            <w:top w:val="none" w:sz="0" w:space="0" w:color="auto"/>
            <w:left w:val="none" w:sz="0" w:space="0" w:color="auto"/>
            <w:bottom w:val="none" w:sz="0" w:space="0" w:color="auto"/>
            <w:right w:val="none" w:sz="0" w:space="0" w:color="auto"/>
          </w:divBdr>
        </w:div>
        <w:div w:id="1495099747">
          <w:marLeft w:val="0"/>
          <w:marRight w:val="0"/>
          <w:marTop w:val="0"/>
          <w:marBottom w:val="0"/>
          <w:divBdr>
            <w:top w:val="none" w:sz="0" w:space="0" w:color="auto"/>
            <w:left w:val="none" w:sz="0" w:space="0" w:color="auto"/>
            <w:bottom w:val="none" w:sz="0" w:space="0" w:color="auto"/>
            <w:right w:val="none" w:sz="0" w:space="0" w:color="auto"/>
          </w:divBdr>
        </w:div>
        <w:div w:id="1613974663">
          <w:marLeft w:val="0"/>
          <w:marRight w:val="0"/>
          <w:marTop w:val="0"/>
          <w:marBottom w:val="0"/>
          <w:divBdr>
            <w:top w:val="none" w:sz="0" w:space="0" w:color="auto"/>
            <w:left w:val="none" w:sz="0" w:space="0" w:color="auto"/>
            <w:bottom w:val="none" w:sz="0" w:space="0" w:color="auto"/>
            <w:right w:val="none" w:sz="0" w:space="0" w:color="auto"/>
          </w:divBdr>
        </w:div>
        <w:div w:id="1624922368">
          <w:marLeft w:val="0"/>
          <w:marRight w:val="0"/>
          <w:marTop w:val="0"/>
          <w:marBottom w:val="0"/>
          <w:divBdr>
            <w:top w:val="none" w:sz="0" w:space="0" w:color="auto"/>
            <w:left w:val="none" w:sz="0" w:space="0" w:color="auto"/>
            <w:bottom w:val="none" w:sz="0" w:space="0" w:color="auto"/>
            <w:right w:val="none" w:sz="0" w:space="0" w:color="auto"/>
          </w:divBdr>
        </w:div>
        <w:div w:id="1674380458">
          <w:marLeft w:val="0"/>
          <w:marRight w:val="0"/>
          <w:marTop w:val="0"/>
          <w:marBottom w:val="0"/>
          <w:divBdr>
            <w:top w:val="none" w:sz="0" w:space="0" w:color="auto"/>
            <w:left w:val="none" w:sz="0" w:space="0" w:color="auto"/>
            <w:bottom w:val="none" w:sz="0" w:space="0" w:color="auto"/>
            <w:right w:val="none" w:sz="0" w:space="0" w:color="auto"/>
          </w:divBdr>
        </w:div>
        <w:div w:id="1690374709">
          <w:marLeft w:val="0"/>
          <w:marRight w:val="0"/>
          <w:marTop w:val="0"/>
          <w:marBottom w:val="0"/>
          <w:divBdr>
            <w:top w:val="none" w:sz="0" w:space="0" w:color="auto"/>
            <w:left w:val="none" w:sz="0" w:space="0" w:color="auto"/>
            <w:bottom w:val="none" w:sz="0" w:space="0" w:color="auto"/>
            <w:right w:val="none" w:sz="0" w:space="0" w:color="auto"/>
          </w:divBdr>
        </w:div>
        <w:div w:id="1692487945">
          <w:marLeft w:val="0"/>
          <w:marRight w:val="0"/>
          <w:marTop w:val="0"/>
          <w:marBottom w:val="0"/>
          <w:divBdr>
            <w:top w:val="none" w:sz="0" w:space="0" w:color="auto"/>
            <w:left w:val="none" w:sz="0" w:space="0" w:color="auto"/>
            <w:bottom w:val="none" w:sz="0" w:space="0" w:color="auto"/>
            <w:right w:val="none" w:sz="0" w:space="0" w:color="auto"/>
          </w:divBdr>
        </w:div>
        <w:div w:id="1698702900">
          <w:marLeft w:val="0"/>
          <w:marRight w:val="0"/>
          <w:marTop w:val="0"/>
          <w:marBottom w:val="0"/>
          <w:divBdr>
            <w:top w:val="none" w:sz="0" w:space="0" w:color="auto"/>
            <w:left w:val="none" w:sz="0" w:space="0" w:color="auto"/>
            <w:bottom w:val="none" w:sz="0" w:space="0" w:color="auto"/>
            <w:right w:val="none" w:sz="0" w:space="0" w:color="auto"/>
          </w:divBdr>
        </w:div>
        <w:div w:id="1700004781">
          <w:marLeft w:val="0"/>
          <w:marRight w:val="0"/>
          <w:marTop w:val="0"/>
          <w:marBottom w:val="0"/>
          <w:divBdr>
            <w:top w:val="none" w:sz="0" w:space="0" w:color="auto"/>
            <w:left w:val="none" w:sz="0" w:space="0" w:color="auto"/>
            <w:bottom w:val="none" w:sz="0" w:space="0" w:color="auto"/>
            <w:right w:val="none" w:sz="0" w:space="0" w:color="auto"/>
          </w:divBdr>
        </w:div>
        <w:div w:id="1719160226">
          <w:marLeft w:val="0"/>
          <w:marRight w:val="0"/>
          <w:marTop w:val="0"/>
          <w:marBottom w:val="0"/>
          <w:divBdr>
            <w:top w:val="none" w:sz="0" w:space="0" w:color="auto"/>
            <w:left w:val="none" w:sz="0" w:space="0" w:color="auto"/>
            <w:bottom w:val="none" w:sz="0" w:space="0" w:color="auto"/>
            <w:right w:val="none" w:sz="0" w:space="0" w:color="auto"/>
          </w:divBdr>
        </w:div>
        <w:div w:id="1726756586">
          <w:marLeft w:val="0"/>
          <w:marRight w:val="0"/>
          <w:marTop w:val="0"/>
          <w:marBottom w:val="0"/>
          <w:divBdr>
            <w:top w:val="none" w:sz="0" w:space="0" w:color="auto"/>
            <w:left w:val="none" w:sz="0" w:space="0" w:color="auto"/>
            <w:bottom w:val="none" w:sz="0" w:space="0" w:color="auto"/>
            <w:right w:val="none" w:sz="0" w:space="0" w:color="auto"/>
          </w:divBdr>
        </w:div>
        <w:div w:id="1845700821">
          <w:marLeft w:val="0"/>
          <w:marRight w:val="0"/>
          <w:marTop w:val="0"/>
          <w:marBottom w:val="0"/>
          <w:divBdr>
            <w:top w:val="none" w:sz="0" w:space="0" w:color="auto"/>
            <w:left w:val="none" w:sz="0" w:space="0" w:color="auto"/>
            <w:bottom w:val="none" w:sz="0" w:space="0" w:color="auto"/>
            <w:right w:val="none" w:sz="0" w:space="0" w:color="auto"/>
          </w:divBdr>
          <w:divsChild>
            <w:div w:id="125977087">
              <w:marLeft w:val="0"/>
              <w:marRight w:val="0"/>
              <w:marTop w:val="0"/>
              <w:marBottom w:val="0"/>
              <w:divBdr>
                <w:top w:val="none" w:sz="0" w:space="0" w:color="auto"/>
                <w:left w:val="none" w:sz="0" w:space="0" w:color="auto"/>
                <w:bottom w:val="none" w:sz="0" w:space="0" w:color="auto"/>
                <w:right w:val="none" w:sz="0" w:space="0" w:color="auto"/>
              </w:divBdr>
            </w:div>
            <w:div w:id="271058850">
              <w:marLeft w:val="0"/>
              <w:marRight w:val="0"/>
              <w:marTop w:val="0"/>
              <w:marBottom w:val="0"/>
              <w:divBdr>
                <w:top w:val="none" w:sz="0" w:space="0" w:color="auto"/>
                <w:left w:val="none" w:sz="0" w:space="0" w:color="auto"/>
                <w:bottom w:val="none" w:sz="0" w:space="0" w:color="auto"/>
                <w:right w:val="none" w:sz="0" w:space="0" w:color="auto"/>
              </w:divBdr>
            </w:div>
            <w:div w:id="344869327">
              <w:marLeft w:val="0"/>
              <w:marRight w:val="0"/>
              <w:marTop w:val="0"/>
              <w:marBottom w:val="0"/>
              <w:divBdr>
                <w:top w:val="none" w:sz="0" w:space="0" w:color="auto"/>
                <w:left w:val="none" w:sz="0" w:space="0" w:color="auto"/>
                <w:bottom w:val="none" w:sz="0" w:space="0" w:color="auto"/>
                <w:right w:val="none" w:sz="0" w:space="0" w:color="auto"/>
              </w:divBdr>
            </w:div>
            <w:div w:id="452214322">
              <w:marLeft w:val="0"/>
              <w:marRight w:val="0"/>
              <w:marTop w:val="0"/>
              <w:marBottom w:val="0"/>
              <w:divBdr>
                <w:top w:val="none" w:sz="0" w:space="0" w:color="auto"/>
                <w:left w:val="none" w:sz="0" w:space="0" w:color="auto"/>
                <w:bottom w:val="none" w:sz="0" w:space="0" w:color="auto"/>
                <w:right w:val="none" w:sz="0" w:space="0" w:color="auto"/>
              </w:divBdr>
            </w:div>
            <w:div w:id="603077074">
              <w:marLeft w:val="0"/>
              <w:marRight w:val="0"/>
              <w:marTop w:val="0"/>
              <w:marBottom w:val="0"/>
              <w:divBdr>
                <w:top w:val="none" w:sz="0" w:space="0" w:color="auto"/>
                <w:left w:val="none" w:sz="0" w:space="0" w:color="auto"/>
                <w:bottom w:val="none" w:sz="0" w:space="0" w:color="auto"/>
                <w:right w:val="none" w:sz="0" w:space="0" w:color="auto"/>
              </w:divBdr>
            </w:div>
            <w:div w:id="759790542">
              <w:marLeft w:val="0"/>
              <w:marRight w:val="0"/>
              <w:marTop w:val="0"/>
              <w:marBottom w:val="0"/>
              <w:divBdr>
                <w:top w:val="none" w:sz="0" w:space="0" w:color="auto"/>
                <w:left w:val="none" w:sz="0" w:space="0" w:color="auto"/>
                <w:bottom w:val="none" w:sz="0" w:space="0" w:color="auto"/>
                <w:right w:val="none" w:sz="0" w:space="0" w:color="auto"/>
              </w:divBdr>
            </w:div>
            <w:div w:id="890269864">
              <w:marLeft w:val="0"/>
              <w:marRight w:val="0"/>
              <w:marTop w:val="0"/>
              <w:marBottom w:val="0"/>
              <w:divBdr>
                <w:top w:val="none" w:sz="0" w:space="0" w:color="auto"/>
                <w:left w:val="none" w:sz="0" w:space="0" w:color="auto"/>
                <w:bottom w:val="none" w:sz="0" w:space="0" w:color="auto"/>
                <w:right w:val="none" w:sz="0" w:space="0" w:color="auto"/>
              </w:divBdr>
            </w:div>
            <w:div w:id="1041247930">
              <w:marLeft w:val="0"/>
              <w:marRight w:val="0"/>
              <w:marTop w:val="0"/>
              <w:marBottom w:val="0"/>
              <w:divBdr>
                <w:top w:val="none" w:sz="0" w:space="0" w:color="auto"/>
                <w:left w:val="none" w:sz="0" w:space="0" w:color="auto"/>
                <w:bottom w:val="none" w:sz="0" w:space="0" w:color="auto"/>
                <w:right w:val="none" w:sz="0" w:space="0" w:color="auto"/>
              </w:divBdr>
            </w:div>
            <w:div w:id="1060596447">
              <w:marLeft w:val="0"/>
              <w:marRight w:val="0"/>
              <w:marTop w:val="0"/>
              <w:marBottom w:val="0"/>
              <w:divBdr>
                <w:top w:val="none" w:sz="0" w:space="0" w:color="auto"/>
                <w:left w:val="none" w:sz="0" w:space="0" w:color="auto"/>
                <w:bottom w:val="none" w:sz="0" w:space="0" w:color="auto"/>
                <w:right w:val="none" w:sz="0" w:space="0" w:color="auto"/>
              </w:divBdr>
            </w:div>
            <w:div w:id="1246457246">
              <w:marLeft w:val="0"/>
              <w:marRight w:val="0"/>
              <w:marTop w:val="0"/>
              <w:marBottom w:val="0"/>
              <w:divBdr>
                <w:top w:val="none" w:sz="0" w:space="0" w:color="auto"/>
                <w:left w:val="none" w:sz="0" w:space="0" w:color="auto"/>
                <w:bottom w:val="none" w:sz="0" w:space="0" w:color="auto"/>
                <w:right w:val="none" w:sz="0" w:space="0" w:color="auto"/>
              </w:divBdr>
            </w:div>
            <w:div w:id="1820688083">
              <w:marLeft w:val="0"/>
              <w:marRight w:val="0"/>
              <w:marTop w:val="0"/>
              <w:marBottom w:val="0"/>
              <w:divBdr>
                <w:top w:val="none" w:sz="0" w:space="0" w:color="auto"/>
                <w:left w:val="none" w:sz="0" w:space="0" w:color="auto"/>
                <w:bottom w:val="none" w:sz="0" w:space="0" w:color="auto"/>
                <w:right w:val="none" w:sz="0" w:space="0" w:color="auto"/>
              </w:divBdr>
            </w:div>
            <w:div w:id="1828939639">
              <w:marLeft w:val="0"/>
              <w:marRight w:val="0"/>
              <w:marTop w:val="0"/>
              <w:marBottom w:val="0"/>
              <w:divBdr>
                <w:top w:val="none" w:sz="0" w:space="0" w:color="auto"/>
                <w:left w:val="none" w:sz="0" w:space="0" w:color="auto"/>
                <w:bottom w:val="none" w:sz="0" w:space="0" w:color="auto"/>
                <w:right w:val="none" w:sz="0" w:space="0" w:color="auto"/>
              </w:divBdr>
            </w:div>
            <w:div w:id="1954943536">
              <w:marLeft w:val="0"/>
              <w:marRight w:val="0"/>
              <w:marTop w:val="0"/>
              <w:marBottom w:val="0"/>
              <w:divBdr>
                <w:top w:val="none" w:sz="0" w:space="0" w:color="auto"/>
                <w:left w:val="none" w:sz="0" w:space="0" w:color="auto"/>
                <w:bottom w:val="none" w:sz="0" w:space="0" w:color="auto"/>
                <w:right w:val="none" w:sz="0" w:space="0" w:color="auto"/>
              </w:divBdr>
            </w:div>
            <w:div w:id="2066372977">
              <w:marLeft w:val="0"/>
              <w:marRight w:val="0"/>
              <w:marTop w:val="0"/>
              <w:marBottom w:val="0"/>
              <w:divBdr>
                <w:top w:val="none" w:sz="0" w:space="0" w:color="auto"/>
                <w:left w:val="none" w:sz="0" w:space="0" w:color="auto"/>
                <w:bottom w:val="none" w:sz="0" w:space="0" w:color="auto"/>
                <w:right w:val="none" w:sz="0" w:space="0" w:color="auto"/>
              </w:divBdr>
            </w:div>
          </w:divsChild>
        </w:div>
        <w:div w:id="1875532952">
          <w:marLeft w:val="0"/>
          <w:marRight w:val="0"/>
          <w:marTop w:val="0"/>
          <w:marBottom w:val="0"/>
          <w:divBdr>
            <w:top w:val="none" w:sz="0" w:space="0" w:color="auto"/>
            <w:left w:val="none" w:sz="0" w:space="0" w:color="auto"/>
            <w:bottom w:val="none" w:sz="0" w:space="0" w:color="auto"/>
            <w:right w:val="none" w:sz="0" w:space="0" w:color="auto"/>
          </w:divBdr>
        </w:div>
        <w:div w:id="1896549663">
          <w:marLeft w:val="0"/>
          <w:marRight w:val="0"/>
          <w:marTop w:val="0"/>
          <w:marBottom w:val="0"/>
          <w:divBdr>
            <w:top w:val="none" w:sz="0" w:space="0" w:color="auto"/>
            <w:left w:val="none" w:sz="0" w:space="0" w:color="auto"/>
            <w:bottom w:val="none" w:sz="0" w:space="0" w:color="auto"/>
            <w:right w:val="none" w:sz="0" w:space="0" w:color="auto"/>
          </w:divBdr>
        </w:div>
        <w:div w:id="2025473301">
          <w:marLeft w:val="0"/>
          <w:marRight w:val="0"/>
          <w:marTop w:val="0"/>
          <w:marBottom w:val="0"/>
          <w:divBdr>
            <w:top w:val="none" w:sz="0" w:space="0" w:color="auto"/>
            <w:left w:val="none" w:sz="0" w:space="0" w:color="auto"/>
            <w:bottom w:val="none" w:sz="0" w:space="0" w:color="auto"/>
            <w:right w:val="none" w:sz="0" w:space="0" w:color="auto"/>
          </w:divBdr>
        </w:div>
        <w:div w:id="2061786802">
          <w:marLeft w:val="0"/>
          <w:marRight w:val="0"/>
          <w:marTop w:val="0"/>
          <w:marBottom w:val="0"/>
          <w:divBdr>
            <w:top w:val="none" w:sz="0" w:space="0" w:color="auto"/>
            <w:left w:val="none" w:sz="0" w:space="0" w:color="auto"/>
            <w:bottom w:val="none" w:sz="0" w:space="0" w:color="auto"/>
            <w:right w:val="none" w:sz="0" w:space="0" w:color="auto"/>
          </w:divBdr>
        </w:div>
      </w:divsChild>
    </w:div>
    <w:div w:id="782647977">
      <w:bodyDiv w:val="1"/>
      <w:marLeft w:val="0"/>
      <w:marRight w:val="0"/>
      <w:marTop w:val="0"/>
      <w:marBottom w:val="0"/>
      <w:divBdr>
        <w:top w:val="none" w:sz="0" w:space="0" w:color="auto"/>
        <w:left w:val="none" w:sz="0" w:space="0" w:color="auto"/>
        <w:bottom w:val="none" w:sz="0" w:space="0" w:color="auto"/>
        <w:right w:val="none" w:sz="0" w:space="0" w:color="auto"/>
      </w:divBdr>
    </w:div>
    <w:div w:id="803734491">
      <w:bodyDiv w:val="1"/>
      <w:marLeft w:val="0"/>
      <w:marRight w:val="0"/>
      <w:marTop w:val="0"/>
      <w:marBottom w:val="0"/>
      <w:divBdr>
        <w:top w:val="none" w:sz="0" w:space="0" w:color="auto"/>
        <w:left w:val="none" w:sz="0" w:space="0" w:color="auto"/>
        <w:bottom w:val="none" w:sz="0" w:space="0" w:color="auto"/>
        <w:right w:val="none" w:sz="0" w:space="0" w:color="auto"/>
      </w:divBdr>
    </w:div>
    <w:div w:id="1176309770">
      <w:bodyDiv w:val="1"/>
      <w:marLeft w:val="0"/>
      <w:marRight w:val="0"/>
      <w:marTop w:val="0"/>
      <w:marBottom w:val="0"/>
      <w:divBdr>
        <w:top w:val="none" w:sz="0" w:space="0" w:color="auto"/>
        <w:left w:val="none" w:sz="0" w:space="0" w:color="auto"/>
        <w:bottom w:val="none" w:sz="0" w:space="0" w:color="auto"/>
        <w:right w:val="none" w:sz="0" w:space="0" w:color="auto"/>
      </w:divBdr>
    </w:div>
    <w:div w:id="1301417391">
      <w:bodyDiv w:val="1"/>
      <w:marLeft w:val="0"/>
      <w:marRight w:val="0"/>
      <w:marTop w:val="0"/>
      <w:marBottom w:val="0"/>
      <w:divBdr>
        <w:top w:val="none" w:sz="0" w:space="0" w:color="auto"/>
        <w:left w:val="none" w:sz="0" w:space="0" w:color="auto"/>
        <w:bottom w:val="none" w:sz="0" w:space="0" w:color="auto"/>
        <w:right w:val="none" w:sz="0" w:space="0" w:color="auto"/>
      </w:divBdr>
    </w:div>
    <w:div w:id="1313372248">
      <w:bodyDiv w:val="1"/>
      <w:marLeft w:val="0"/>
      <w:marRight w:val="0"/>
      <w:marTop w:val="0"/>
      <w:marBottom w:val="0"/>
      <w:divBdr>
        <w:top w:val="none" w:sz="0" w:space="0" w:color="auto"/>
        <w:left w:val="none" w:sz="0" w:space="0" w:color="auto"/>
        <w:bottom w:val="none" w:sz="0" w:space="0" w:color="auto"/>
        <w:right w:val="none" w:sz="0" w:space="0" w:color="auto"/>
      </w:divBdr>
    </w:div>
    <w:div w:id="1387146286">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 w:id="1833642470">
      <w:bodyDiv w:val="1"/>
      <w:marLeft w:val="0"/>
      <w:marRight w:val="0"/>
      <w:marTop w:val="0"/>
      <w:marBottom w:val="0"/>
      <w:divBdr>
        <w:top w:val="none" w:sz="0" w:space="0" w:color="auto"/>
        <w:left w:val="none" w:sz="0" w:space="0" w:color="auto"/>
        <w:bottom w:val="none" w:sz="0" w:space="0" w:color="auto"/>
        <w:right w:val="none" w:sz="0" w:space="0" w:color="auto"/>
      </w:divBdr>
    </w:div>
    <w:div w:id="20952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what-is-a-journal-entr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countingtools.com/articles/what-is-the-allowance-for-doubtful-accou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10523-ADFA-48F3-A1B9-3512ACF0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4721</Words>
  <Characters>26912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31570</CharactersWithSpaces>
  <SharedDoc>false</SharedDoc>
  <HLinks>
    <vt:vector size="66" baseType="variant">
      <vt:variant>
        <vt:i4>5963816</vt:i4>
      </vt:variant>
      <vt:variant>
        <vt:i4>30</vt:i4>
      </vt:variant>
      <vt:variant>
        <vt:i4>0</vt:i4>
      </vt:variant>
      <vt:variant>
        <vt:i4>5</vt:i4>
      </vt:variant>
      <vt:variant>
        <vt:lpwstr>https://en.wikipedia.org/wiki/Business_valuation</vt:lpwstr>
      </vt:variant>
      <vt:variant>
        <vt:lpwstr/>
      </vt:variant>
      <vt:variant>
        <vt:i4>1835119</vt:i4>
      </vt:variant>
      <vt:variant>
        <vt:i4>27</vt:i4>
      </vt:variant>
      <vt:variant>
        <vt:i4>0</vt:i4>
      </vt:variant>
      <vt:variant>
        <vt:i4>5</vt:i4>
      </vt:variant>
      <vt:variant>
        <vt:lpwstr>https://en.wikipedia.org/wiki/Money_laundering</vt:lpwstr>
      </vt:variant>
      <vt:variant>
        <vt:lpwstr/>
      </vt:variant>
      <vt:variant>
        <vt:i4>1310847</vt:i4>
      </vt:variant>
      <vt:variant>
        <vt:i4>24</vt:i4>
      </vt:variant>
      <vt:variant>
        <vt:i4>0</vt:i4>
      </vt:variant>
      <vt:variant>
        <vt:i4>5</vt:i4>
      </vt:variant>
      <vt:variant>
        <vt:lpwstr>https://en.wikipedia.org/wiki/Tax_fraud</vt:lpwstr>
      </vt:variant>
      <vt:variant>
        <vt:lpwstr/>
      </vt:variant>
      <vt:variant>
        <vt:i4>2949215</vt:i4>
      </vt:variant>
      <vt:variant>
        <vt:i4>21</vt:i4>
      </vt:variant>
      <vt:variant>
        <vt:i4>0</vt:i4>
      </vt:variant>
      <vt:variant>
        <vt:i4>5</vt:i4>
      </vt:variant>
      <vt:variant>
        <vt:lpwstr>https://en.wikipedia.org/wiki/Securities_fraud</vt:lpwstr>
      </vt:variant>
      <vt:variant>
        <vt:lpwstr/>
      </vt:variant>
      <vt:variant>
        <vt:i4>983156</vt:i4>
      </vt:variant>
      <vt:variant>
        <vt:i4>18</vt:i4>
      </vt:variant>
      <vt:variant>
        <vt:i4>0</vt:i4>
      </vt:variant>
      <vt:variant>
        <vt:i4>5</vt:i4>
      </vt:variant>
      <vt:variant>
        <vt:lpwstr>https://en.wikipedia.org/wiki/Corporate_action</vt:lpwstr>
      </vt:variant>
      <vt:variant>
        <vt:lpwstr/>
      </vt:variant>
      <vt:variant>
        <vt:i4>5046276</vt:i4>
      </vt:variant>
      <vt:variant>
        <vt:i4>15</vt:i4>
      </vt:variant>
      <vt:variant>
        <vt:i4>0</vt:i4>
      </vt:variant>
      <vt:variant>
        <vt:i4>5</vt:i4>
      </vt:variant>
      <vt:variant>
        <vt:lpwstr>https://en.wikipedia.org/wiki/Insolvency</vt:lpwstr>
      </vt:variant>
      <vt:variant>
        <vt:lpwstr/>
      </vt:variant>
      <vt:variant>
        <vt:i4>6225945</vt:i4>
      </vt:variant>
      <vt:variant>
        <vt:i4>12</vt:i4>
      </vt:variant>
      <vt:variant>
        <vt:i4>0</vt:i4>
      </vt:variant>
      <vt:variant>
        <vt:i4>5</vt:i4>
      </vt:variant>
      <vt:variant>
        <vt:lpwstr>https://en.wikipedia.org/wiki/Bankruptcy</vt:lpwstr>
      </vt:variant>
      <vt:variant>
        <vt:lpwstr/>
      </vt:variant>
      <vt:variant>
        <vt:i4>2687076</vt:i4>
      </vt:variant>
      <vt:variant>
        <vt:i4>9</vt:i4>
      </vt:variant>
      <vt:variant>
        <vt:i4>0</vt:i4>
      </vt:variant>
      <vt:variant>
        <vt:i4>5</vt:i4>
      </vt:variant>
      <vt:variant>
        <vt:lpwstr>https://en.wikipedia.org/wiki/Warranty</vt:lpwstr>
      </vt:variant>
      <vt:variant>
        <vt:lpwstr/>
      </vt:variant>
      <vt:variant>
        <vt:i4>5701644</vt:i4>
      </vt:variant>
      <vt:variant>
        <vt:i4>6</vt:i4>
      </vt:variant>
      <vt:variant>
        <vt:i4>0</vt:i4>
      </vt:variant>
      <vt:variant>
        <vt:i4>5</vt:i4>
      </vt:variant>
      <vt:variant>
        <vt:lpwstr>https://en.wikipedia.org/wiki/Earnout</vt:lpwstr>
      </vt:variant>
      <vt:variant>
        <vt:lpwstr/>
      </vt:variant>
      <vt:variant>
        <vt:i4>6815797</vt:i4>
      </vt:variant>
      <vt:variant>
        <vt:i4>3</vt:i4>
      </vt:variant>
      <vt:variant>
        <vt:i4>0</vt:i4>
      </vt:variant>
      <vt:variant>
        <vt:i4>5</vt:i4>
      </vt:variant>
      <vt:variant>
        <vt:lpwstr>https://en.wikipedia.org/wiki/Breach_of_contract</vt:lpwstr>
      </vt:variant>
      <vt:variant>
        <vt:lpwstr/>
      </vt:variant>
      <vt:variant>
        <vt:i4>4718618</vt:i4>
      </vt:variant>
      <vt:variant>
        <vt:i4>0</vt:i4>
      </vt:variant>
      <vt:variant>
        <vt:i4>0</vt:i4>
      </vt:variant>
      <vt:variant>
        <vt:i4>5</vt:i4>
      </vt:variant>
      <vt:variant>
        <vt:lpwstr>https://en.wikipedia.org/wiki/Damages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Laerta Toci</cp:lastModifiedBy>
  <cp:revision>3</cp:revision>
  <cp:lastPrinted>2016-04-07T08:46:00Z</cp:lastPrinted>
  <dcterms:created xsi:type="dcterms:W3CDTF">2023-08-04T12:03:00Z</dcterms:created>
  <dcterms:modified xsi:type="dcterms:W3CDTF">2023-08-04T12:04:00Z</dcterms:modified>
</cp:coreProperties>
</file>