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6F03" w14:textId="77777777" w:rsidR="00240B19" w:rsidRPr="00B837F0" w:rsidRDefault="00B837F0" w:rsidP="00116F12">
      <w:pPr>
        <w:tabs>
          <w:tab w:val="left" w:pos="0"/>
        </w:tabs>
        <w:spacing w:after="0"/>
        <w:jc w:val="center"/>
        <w:rPr>
          <w:rFonts w:ascii="Times New Roman" w:hAnsi="Times New Roman"/>
          <w:sz w:val="12"/>
          <w:szCs w:val="24"/>
        </w:rPr>
      </w:pPr>
      <w:r w:rsidRPr="00B837F0">
        <w:rPr>
          <w:rFonts w:ascii="Book Antiqua" w:hAnsi="Book Antiqua"/>
          <w:noProof/>
          <w:sz w:val="2"/>
          <w:szCs w:val="6"/>
        </w:rPr>
        <w:drawing>
          <wp:anchor distT="0" distB="0" distL="114300" distR="114300" simplePos="0" relativeHeight="251659264" behindDoc="0" locked="0" layoutInCell="1" allowOverlap="1" wp14:anchorId="7EDC9A08" wp14:editId="700E136C">
            <wp:simplePos x="0" y="0"/>
            <wp:positionH relativeFrom="margin">
              <wp:align>center</wp:align>
            </wp:positionH>
            <wp:positionV relativeFrom="page">
              <wp:posOffset>228600</wp:posOffset>
            </wp:positionV>
            <wp:extent cx="7470140" cy="628650"/>
            <wp:effectExtent l="0" t="0" r="0" b="0"/>
            <wp:wrapSquare wrapText="bothSides"/>
            <wp:docPr id="2" name="Picture 2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784F4" w14:textId="77777777" w:rsidR="00116F12" w:rsidRPr="00B837F0" w:rsidRDefault="00116F12" w:rsidP="00116F12">
      <w:pPr>
        <w:tabs>
          <w:tab w:val="left" w:pos="0"/>
        </w:tabs>
        <w:spacing w:after="0"/>
        <w:jc w:val="center"/>
        <w:rPr>
          <w:rFonts w:ascii="Times New Roman" w:hAnsi="Times New Roman"/>
          <w:sz w:val="12"/>
          <w:szCs w:val="24"/>
        </w:rPr>
      </w:pPr>
    </w:p>
    <w:p w14:paraId="71F46DB0" w14:textId="77777777" w:rsidR="00B837F0" w:rsidRPr="00B837F0" w:rsidRDefault="00B837F0" w:rsidP="00B837F0">
      <w:pPr>
        <w:spacing w:after="0" w:line="240" w:lineRule="auto"/>
        <w:rPr>
          <w:rFonts w:ascii="Book Antiqua" w:hAnsi="Book Antiqua"/>
          <w:sz w:val="2"/>
          <w:szCs w:val="2"/>
          <w:lang w:eastAsia="en-US"/>
        </w:rPr>
      </w:pPr>
    </w:p>
    <w:p w14:paraId="4920EC1A" w14:textId="77777777" w:rsidR="00B837F0" w:rsidRPr="00B837F0" w:rsidRDefault="00B837F0" w:rsidP="00B837F0">
      <w:pPr>
        <w:tabs>
          <w:tab w:val="left" w:pos="3870"/>
        </w:tabs>
        <w:spacing w:after="0" w:line="240" w:lineRule="auto"/>
        <w:rPr>
          <w:rFonts w:ascii="Book Antiqua" w:hAnsi="Book Antiqua"/>
          <w:sz w:val="2"/>
          <w:szCs w:val="6"/>
          <w:lang w:eastAsia="en-US"/>
        </w:rPr>
      </w:pPr>
      <w:r w:rsidRPr="00B837F0">
        <w:rPr>
          <w:rFonts w:ascii="Book Antiqua" w:hAnsi="Book Antiqua"/>
          <w:sz w:val="2"/>
          <w:szCs w:val="6"/>
          <w:lang w:eastAsia="en-US"/>
        </w:rPr>
        <w:tab/>
      </w:r>
    </w:p>
    <w:p w14:paraId="0F0E8255" w14:textId="77777777" w:rsidR="00B837F0" w:rsidRDefault="00B837F0" w:rsidP="00B837F0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  <w:lang w:eastAsia="en-US"/>
        </w:rPr>
      </w:pPr>
    </w:p>
    <w:p w14:paraId="3AAAA509" w14:textId="77777777" w:rsidR="00B837F0" w:rsidRDefault="00B837F0" w:rsidP="00B837F0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  <w:lang w:eastAsia="en-US"/>
        </w:rPr>
      </w:pPr>
    </w:p>
    <w:p w14:paraId="3F8A1FEA" w14:textId="77777777" w:rsidR="00B5524F" w:rsidRDefault="00B5524F" w:rsidP="00B837F0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30F71F16" w14:textId="77777777" w:rsidR="00B5524F" w:rsidRDefault="00B5524F" w:rsidP="00B837F0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137068FC" w14:textId="77777777" w:rsidR="00B837F0" w:rsidRPr="00B837F0" w:rsidRDefault="00B837F0" w:rsidP="00B837F0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  <w:r w:rsidRPr="00B837F0">
        <w:rPr>
          <w:rFonts w:ascii="Times New Roman" w:hAnsi="Times New Roman"/>
          <w:b/>
          <w:sz w:val="16"/>
          <w:szCs w:val="24"/>
          <w:lang w:eastAsia="en-US"/>
        </w:rPr>
        <w:t>MINISTRIA E FINANCAVE DHE EKONOMISË</w:t>
      </w:r>
    </w:p>
    <w:p w14:paraId="5A7844CA" w14:textId="77777777" w:rsidR="00B837F0" w:rsidRPr="00B837F0" w:rsidRDefault="00B837F0" w:rsidP="00B837F0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24"/>
          <w:lang w:eastAsia="en-US"/>
        </w:rPr>
      </w:pPr>
      <w:r w:rsidRPr="00B837F0">
        <w:rPr>
          <w:rFonts w:ascii="Times New Roman" w:hAnsi="Times New Roman"/>
          <w:b/>
          <w:caps/>
          <w:sz w:val="16"/>
          <w:szCs w:val="24"/>
          <w:lang w:eastAsia="en-US"/>
        </w:rPr>
        <w:t>DREJTORIA E PËRGJITHSHME E PRONËS PUBLIKE</w:t>
      </w:r>
    </w:p>
    <w:p w14:paraId="52F3F0E5" w14:textId="77777777" w:rsidR="00B837F0" w:rsidRPr="00B837F0" w:rsidRDefault="00B837F0" w:rsidP="00B837F0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24"/>
          <w:lang w:eastAsia="en-US"/>
        </w:rPr>
      </w:pPr>
      <w:r w:rsidRPr="00B837F0">
        <w:rPr>
          <w:rFonts w:ascii="Times New Roman" w:hAnsi="Times New Roman"/>
          <w:b/>
          <w:caps/>
          <w:sz w:val="16"/>
          <w:szCs w:val="24"/>
          <w:lang w:eastAsia="en-US"/>
        </w:rPr>
        <w:t xml:space="preserve">DREJTORIA E pRIVATIZIMIT DHE SHITJES </w:t>
      </w:r>
    </w:p>
    <w:p w14:paraId="736D502A" w14:textId="77777777" w:rsidR="00240B19" w:rsidRDefault="00240B19" w:rsidP="00116F1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A94655" w14:textId="420F165F" w:rsidR="00116F12" w:rsidRDefault="00116F12" w:rsidP="00B837F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478AE">
        <w:rPr>
          <w:rFonts w:ascii="Times New Roman" w:hAnsi="Times New Roman"/>
          <w:sz w:val="24"/>
          <w:szCs w:val="24"/>
        </w:rPr>
        <w:t xml:space="preserve">Në zbatim 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VKM Nr. </w:t>
      </w:r>
      <w:r>
        <w:rPr>
          <w:rFonts w:ascii="Times New Roman" w:hAnsi="Times New Roman"/>
          <w:sz w:val="24"/>
          <w:szCs w:val="24"/>
          <w:lang w:val="it-IT"/>
        </w:rPr>
        <w:t>888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, datë </w:t>
      </w:r>
      <w:r>
        <w:rPr>
          <w:rFonts w:ascii="Times New Roman" w:hAnsi="Times New Roman"/>
          <w:sz w:val="24"/>
          <w:szCs w:val="24"/>
          <w:lang w:val="it-IT"/>
        </w:rPr>
        <w:t>11.11.202</w:t>
      </w:r>
      <w:r w:rsidRPr="00C478AE">
        <w:rPr>
          <w:rFonts w:ascii="Times New Roman" w:hAnsi="Times New Roman"/>
          <w:sz w:val="24"/>
          <w:szCs w:val="24"/>
          <w:lang w:val="it-IT"/>
        </w:rPr>
        <w:t>0 "Për përcak</w:t>
      </w:r>
      <w:r>
        <w:rPr>
          <w:rFonts w:ascii="Times New Roman" w:hAnsi="Times New Roman"/>
          <w:sz w:val="24"/>
          <w:szCs w:val="24"/>
          <w:lang w:val="it-IT"/>
        </w:rPr>
        <w:t>timin e kritereve të vlerësimit</w:t>
      </w:r>
      <w:r w:rsidRPr="00C478AE">
        <w:rPr>
          <w:rFonts w:ascii="Times New Roman" w:hAnsi="Times New Roman"/>
          <w:sz w:val="24"/>
          <w:szCs w:val="24"/>
          <w:lang w:val="it-IT"/>
        </w:rPr>
        <w:t>, mënyra</w:t>
      </w:r>
      <w:r>
        <w:rPr>
          <w:rFonts w:ascii="Times New Roman" w:hAnsi="Times New Roman"/>
          <w:sz w:val="24"/>
          <w:szCs w:val="24"/>
          <w:lang w:val="it-IT"/>
        </w:rPr>
        <w:t>t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 dhe procedura</w:t>
      </w:r>
      <w:r>
        <w:rPr>
          <w:rFonts w:ascii="Times New Roman" w:hAnsi="Times New Roman"/>
          <w:sz w:val="24"/>
          <w:szCs w:val="24"/>
          <w:lang w:val="it-IT"/>
        </w:rPr>
        <w:t>t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 dhënies në përdorim </w:t>
      </w:r>
      <w:r>
        <w:rPr>
          <w:rFonts w:ascii="Times New Roman" w:hAnsi="Times New Roman"/>
          <w:sz w:val="24"/>
          <w:szCs w:val="24"/>
          <w:lang w:val="it-IT"/>
        </w:rPr>
        <w:t>dh</w:t>
      </w:r>
      <w:r w:rsidRPr="00C478AE">
        <w:rPr>
          <w:rFonts w:ascii="Times New Roman" w:hAnsi="Times New Roman"/>
          <w:sz w:val="24"/>
          <w:szCs w:val="24"/>
          <w:lang w:val="it-IT"/>
        </w:rPr>
        <w:t>e të tjetërs</w:t>
      </w:r>
      <w:r>
        <w:rPr>
          <w:rFonts w:ascii="Times New Roman" w:hAnsi="Times New Roman"/>
          <w:sz w:val="24"/>
          <w:szCs w:val="24"/>
          <w:lang w:val="it-IT"/>
        </w:rPr>
        <w:t>imit të pasurive të konfiskuara</w:t>
      </w:r>
      <w:r w:rsidRPr="00C478AE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43065">
        <w:rPr>
          <w:rFonts w:ascii="Times New Roman" w:hAnsi="Times New Roman"/>
          <w:sz w:val="24"/>
          <w:szCs w:val="24"/>
        </w:rPr>
        <w:t xml:space="preserve">kreu V, </w:t>
      </w:r>
      <w:r w:rsidRPr="00343065">
        <w:rPr>
          <w:rFonts w:ascii="Times New Roman" w:hAnsi="Times New Roman"/>
          <w:sz w:val="24"/>
          <w:szCs w:val="24"/>
        </w:rPr>
        <w:t>shpall</w:t>
      </w:r>
      <w:r w:rsidR="00343065">
        <w:rPr>
          <w:rFonts w:ascii="Times New Roman" w:hAnsi="Times New Roman"/>
          <w:sz w:val="24"/>
          <w:szCs w:val="24"/>
        </w:rPr>
        <w:t>et</w:t>
      </w:r>
      <w:r w:rsidRPr="00343065">
        <w:rPr>
          <w:rFonts w:ascii="Times New Roman" w:hAnsi="Times New Roman"/>
          <w:sz w:val="24"/>
          <w:szCs w:val="24"/>
        </w:rPr>
        <w:t xml:space="preserve"> për shitje </w:t>
      </w:r>
      <w:r w:rsidR="00343065" w:rsidRPr="00343065">
        <w:rPr>
          <w:rFonts w:ascii="Times New Roman" w:hAnsi="Times New Roman"/>
          <w:lang w:val="it-IT"/>
        </w:rPr>
        <w:t xml:space="preserve">me çmim </w:t>
      </w:r>
      <w:r w:rsidR="00CD22FB">
        <w:rPr>
          <w:rFonts w:ascii="Times New Roman" w:hAnsi="Times New Roman"/>
          <w:lang w:val="it-IT"/>
        </w:rPr>
        <w:t>fillestar,</w:t>
      </w:r>
      <w:r w:rsidR="00A97E4E">
        <w:rPr>
          <w:rFonts w:ascii="Times New Roman" w:hAnsi="Times New Roman"/>
          <w:lang w:val="it-IT"/>
        </w:rPr>
        <w:t xml:space="preserve"> për një periudhë 10-ditore,</w:t>
      </w:r>
      <w:r w:rsidR="00CD22FB">
        <w:rPr>
          <w:rFonts w:ascii="Times New Roman" w:hAnsi="Times New Roman"/>
          <w:lang w:val="it-IT"/>
        </w:rPr>
        <w:t xml:space="preserve">  </w:t>
      </w:r>
      <w:r>
        <w:rPr>
          <w:rFonts w:ascii="Times New Roman" w:hAnsi="Times New Roman"/>
          <w:sz w:val="24"/>
          <w:szCs w:val="24"/>
        </w:rPr>
        <w:t>si më poshtë</w:t>
      </w:r>
      <w:r w:rsidRPr="00AF0CFF">
        <w:rPr>
          <w:rFonts w:ascii="Times New Roman" w:hAnsi="Times New Roman"/>
          <w:sz w:val="24"/>
          <w:szCs w:val="24"/>
        </w:rPr>
        <w:t>:</w:t>
      </w:r>
    </w:p>
    <w:p w14:paraId="24C3D131" w14:textId="77777777" w:rsidR="00A97E4E" w:rsidRPr="00B837F0" w:rsidRDefault="00A97E4E" w:rsidP="00B837F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FBF415" w14:textId="77777777" w:rsidR="00116F12" w:rsidRDefault="00116F12" w:rsidP="00116F12">
      <w:pPr>
        <w:pStyle w:val="ListParagraph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41E8">
        <w:rPr>
          <w:rFonts w:ascii="Times New Roman" w:hAnsi="Times New Roman"/>
          <w:b/>
          <w:bCs/>
          <w:sz w:val="24"/>
          <w:szCs w:val="24"/>
          <w:lang w:val="en-US"/>
        </w:rPr>
        <w:t>Në administrim të Agjencisë së Administrimit të Pasurive të Sekuestruara dhe të Konfiskuara</w:t>
      </w:r>
    </w:p>
    <w:tbl>
      <w:tblPr>
        <w:tblStyle w:val="TableGrid"/>
        <w:tblW w:w="1483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98"/>
        <w:gridCol w:w="2671"/>
        <w:gridCol w:w="1530"/>
        <w:gridCol w:w="1732"/>
        <w:gridCol w:w="1417"/>
        <w:gridCol w:w="1276"/>
        <w:gridCol w:w="1418"/>
        <w:gridCol w:w="1417"/>
        <w:gridCol w:w="1134"/>
        <w:gridCol w:w="898"/>
        <w:gridCol w:w="840"/>
      </w:tblGrid>
      <w:tr w:rsidR="00116F12" w14:paraId="0DD665AC" w14:textId="77777777" w:rsidTr="000D0AA8">
        <w:trPr>
          <w:trHeight w:val="39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B53B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59E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143862D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Emertimi i objektit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D00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1856E32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Vendndodhja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BCC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Vlerat (në lekë)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CD76" w14:textId="77777777" w:rsidR="00116F12" w:rsidRPr="00F925EF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F925EF">
              <w:rPr>
                <w:rFonts w:ascii="Times New Roman" w:hAnsi="Times New Roman"/>
                <w:b/>
              </w:rPr>
              <w:t>Sipërfaqa e përgjithshme</w:t>
            </w:r>
          </w:p>
          <w:p w14:paraId="2E3A053B" w14:textId="77777777" w:rsidR="00116F12" w:rsidRPr="00F925EF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F925EF">
              <w:rPr>
                <w:rFonts w:ascii="Times New Roman" w:hAnsi="Times New Roman"/>
                <w:b/>
              </w:rPr>
              <w:t>(m</w:t>
            </w:r>
            <w:r w:rsidRPr="00F925EF">
              <w:rPr>
                <w:rFonts w:ascii="Times New Roman" w:hAnsi="Times New Roman"/>
                <w:b/>
                <w:vertAlign w:val="superscript"/>
              </w:rPr>
              <w:t>2</w:t>
            </w:r>
            <w:r w:rsidRPr="00F925E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85A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Sipërfaqa nën objekt (m</w:t>
            </w:r>
            <w:r>
              <w:rPr>
                <w:rFonts w:ascii="Times New Roman" w:hAnsi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F5DA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Zhvillimi i Ankandit</w:t>
            </w:r>
          </w:p>
        </w:tc>
      </w:tr>
      <w:tr w:rsidR="00116F12" w14:paraId="0034EB00" w14:textId="77777777" w:rsidTr="000D0AA8">
        <w:trPr>
          <w:trHeight w:val="698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27CE" w14:textId="77777777" w:rsidR="00116F12" w:rsidRDefault="00116F12" w:rsidP="001D25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087C" w14:textId="77777777" w:rsidR="00116F12" w:rsidRDefault="00116F12" w:rsidP="001D25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4E0B" w14:textId="77777777" w:rsidR="00116F12" w:rsidRDefault="00116F12" w:rsidP="001D25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E366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Vlera fillestare e ankandit</w:t>
            </w:r>
          </w:p>
          <w:p w14:paraId="6B538D01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4E1B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Mjetet kryesore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4DA2" w14:textId="77777777" w:rsidR="00116F12" w:rsidRDefault="00CD22FB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Njësi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0204" w14:textId="77777777" w:rsidR="00116F12" w:rsidRDefault="00116F12" w:rsidP="001D25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15D6" w14:textId="77777777" w:rsidR="00116F12" w:rsidRDefault="00116F12" w:rsidP="001D25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066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29D040E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678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1808D54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9ED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BE44B97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Vendi</w:t>
            </w:r>
          </w:p>
        </w:tc>
      </w:tr>
      <w:tr w:rsidR="00116F12" w14:paraId="1DEC8007" w14:textId="77777777" w:rsidTr="00887F6E"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281E51" w14:textId="77777777" w:rsidR="00116F12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631FCF8F" w14:textId="77777777" w:rsidR="00116F12" w:rsidRPr="008152A7" w:rsidRDefault="00887F6E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</w:rPr>
              <w:t xml:space="preserve">Njësi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6A89C3" w14:textId="77777777" w:rsidR="00116F12" w:rsidRPr="0059670A" w:rsidRDefault="00887F6E" w:rsidP="00887F6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Yzberisht, Tiranë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3F32D" w14:textId="77777777" w:rsidR="00116F12" w:rsidRDefault="00887F6E" w:rsidP="00116F1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</w:rPr>
              <w:t>5 9</w:t>
            </w:r>
            <w:r w:rsidR="00CD22FB">
              <w:rPr>
                <w:rFonts w:ascii="Times New Roman" w:hAnsi="Times New Roman"/>
                <w:b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4F06B" w14:textId="77777777" w:rsidR="00116F12" w:rsidRPr="006C160B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285C" w14:textId="77777777" w:rsidR="00116F12" w:rsidRDefault="00887F6E" w:rsidP="00116F1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</w:rPr>
              <w:t>5 900 000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15C6B" w14:textId="77777777" w:rsidR="00116F12" w:rsidRPr="00A8069F" w:rsidRDefault="00887F6E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32640" w14:textId="77777777" w:rsidR="00116F12" w:rsidRPr="00D62211" w:rsidRDefault="00116F12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9F33A0" w14:textId="52C567F3" w:rsidR="00116F12" w:rsidRPr="00D4404D" w:rsidRDefault="008D5DE4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B837F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8</w:t>
            </w:r>
            <w:r w:rsidR="00B837F0">
              <w:rPr>
                <w:rFonts w:ascii="Times New Roman" w:hAnsi="Times New Roman"/>
                <w:b/>
              </w:rPr>
              <w:t>.2023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8C5AD1" w14:textId="77777777" w:rsidR="00116F12" w:rsidRPr="000D0AA8" w:rsidRDefault="00B837F0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10:00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4C7A9" w14:textId="77777777" w:rsidR="00116F12" w:rsidRDefault="0085086E" w:rsidP="001D253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DPSH</w:t>
            </w:r>
          </w:p>
        </w:tc>
      </w:tr>
    </w:tbl>
    <w:p w14:paraId="4C63470E" w14:textId="77777777" w:rsidR="00A97E4E" w:rsidRDefault="00A97E4E" w:rsidP="00116F12">
      <w:pPr>
        <w:spacing w:after="0"/>
        <w:jc w:val="both"/>
        <w:rPr>
          <w:sz w:val="20"/>
          <w:lang w:val="en-US"/>
        </w:rPr>
      </w:pPr>
    </w:p>
    <w:p w14:paraId="602AE022" w14:textId="073D0E89" w:rsidR="00116F12" w:rsidRPr="00C66425" w:rsidRDefault="00116F12" w:rsidP="00116F1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66425">
        <w:rPr>
          <w:rFonts w:ascii="Times New Roman" w:hAnsi="Times New Roman"/>
          <w:b/>
          <w:sz w:val="20"/>
          <w:szCs w:val="20"/>
        </w:rPr>
        <w:t>Çdo person fizik apo juridik i interesuar për blerje me ankand</w:t>
      </w:r>
      <w:r w:rsidRPr="00C66425">
        <w:rPr>
          <w:rFonts w:ascii="Times New Roman" w:hAnsi="Times New Roman"/>
          <w:sz w:val="20"/>
          <w:szCs w:val="20"/>
        </w:rPr>
        <w:t xml:space="preserve"> duhet të paraqesë në vendin, datën dhe orën e njoftuar pranë komisionit të ankandit dokumentacionin si më poshtë:</w:t>
      </w:r>
    </w:p>
    <w:p w14:paraId="67E57003" w14:textId="77777777" w:rsidR="00116F12" w:rsidRPr="00C66425" w:rsidRDefault="00116F12" w:rsidP="00116F1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66425">
        <w:rPr>
          <w:rFonts w:ascii="Times New Roman" w:hAnsi="Times New Roman"/>
          <w:b/>
          <w:sz w:val="20"/>
          <w:szCs w:val="20"/>
        </w:rPr>
        <w:t>Kërkesë me shkrim</w:t>
      </w:r>
      <w:r w:rsidRPr="00C66425">
        <w:rPr>
          <w:rFonts w:ascii="Times New Roman" w:hAnsi="Times New Roman"/>
          <w:sz w:val="20"/>
          <w:szCs w:val="20"/>
        </w:rPr>
        <w:t xml:space="preserve"> për blerjen e objektit apo ndermarjes e regjistruar pranë protokollit të Ministrisë së Financave</w:t>
      </w:r>
      <w:r>
        <w:rPr>
          <w:rFonts w:ascii="Times New Roman" w:hAnsi="Times New Roman"/>
          <w:sz w:val="20"/>
          <w:szCs w:val="20"/>
          <w:lang w:val="ga-IE"/>
        </w:rPr>
        <w:t xml:space="preserve"> dhe Ekonomise</w:t>
      </w:r>
      <w:r w:rsidRPr="00C66425">
        <w:rPr>
          <w:rFonts w:ascii="Times New Roman" w:hAnsi="Times New Roman"/>
          <w:sz w:val="20"/>
          <w:szCs w:val="20"/>
        </w:rPr>
        <w:t>.</w:t>
      </w:r>
    </w:p>
    <w:p w14:paraId="68070000" w14:textId="77777777" w:rsidR="00116F12" w:rsidRDefault="00116F12" w:rsidP="00116F1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66425">
        <w:rPr>
          <w:rFonts w:ascii="Times New Roman" w:hAnsi="Times New Roman"/>
          <w:b/>
          <w:sz w:val="20"/>
          <w:szCs w:val="20"/>
        </w:rPr>
        <w:t xml:space="preserve">Mandat pagesën apo Garancinë bankare </w:t>
      </w:r>
      <w:r w:rsidRPr="00C66425">
        <w:rPr>
          <w:rFonts w:ascii="Times New Roman" w:hAnsi="Times New Roman"/>
          <w:sz w:val="20"/>
          <w:szCs w:val="20"/>
        </w:rPr>
        <w:t xml:space="preserve">në origjinal që vërteton derdhjen apo ngurtësimin e 20 % të vlerës së fillimit të ankandit, në lekë për llogari të </w:t>
      </w:r>
      <w:r>
        <w:rPr>
          <w:rFonts w:ascii="Times New Roman" w:hAnsi="Times New Roman"/>
          <w:sz w:val="20"/>
          <w:szCs w:val="20"/>
        </w:rPr>
        <w:t>Agjencis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s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Administrimit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Pasurive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Sekuestruara dhe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Konfiskuara</w:t>
      </w:r>
      <w:r w:rsidRPr="00C66425">
        <w:rPr>
          <w:rFonts w:ascii="Times New Roman" w:hAnsi="Times New Roman"/>
          <w:sz w:val="20"/>
          <w:szCs w:val="20"/>
        </w:rPr>
        <w:t>.</w:t>
      </w:r>
    </w:p>
    <w:p w14:paraId="6F97E2D4" w14:textId="77777777" w:rsidR="00116F12" w:rsidRPr="00C66425" w:rsidRDefault="00116F12" w:rsidP="00116F1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Deklarimin personal </w:t>
      </w:r>
      <w:r w:rsidRPr="001F3DB3">
        <w:rPr>
          <w:rFonts w:ascii="Times New Roman" w:hAnsi="Times New Roman"/>
          <w:b/>
          <w:sz w:val="20"/>
          <w:szCs w:val="20"/>
        </w:rPr>
        <w:t>të secilit pjesëmarrës,</w:t>
      </w:r>
      <w:r>
        <w:rPr>
          <w:rFonts w:ascii="Times New Roman" w:hAnsi="Times New Roman"/>
          <w:sz w:val="20"/>
          <w:szCs w:val="20"/>
        </w:rPr>
        <w:t xml:space="preserve"> q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v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rteton se ky i fundit nuk 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sht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n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konflikt interesi, sipas dispozitave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ligjit Nr. 10192, dat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03.12.2009,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ndryshuar dhe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ligjit Nr. 34/2019,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ndryshuar.</w:t>
      </w:r>
    </w:p>
    <w:p w14:paraId="30E5CF42" w14:textId="77777777" w:rsidR="00116F12" w:rsidRPr="00BD162E" w:rsidRDefault="00116F12" w:rsidP="00116F1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D162E">
        <w:rPr>
          <w:rFonts w:ascii="Times New Roman" w:hAnsi="Times New Roman"/>
          <w:b/>
          <w:sz w:val="20"/>
          <w:szCs w:val="20"/>
        </w:rPr>
        <w:t xml:space="preserve">Dokument identifikimi </w:t>
      </w:r>
      <w:r w:rsidRPr="00BD162E">
        <w:rPr>
          <w:rFonts w:ascii="Times New Roman" w:hAnsi="Times New Roman"/>
          <w:sz w:val="20"/>
          <w:szCs w:val="20"/>
        </w:rPr>
        <w:t>(pasaportë biometrike ose letërnjoftim).</w:t>
      </w:r>
    </w:p>
    <w:p w14:paraId="7B4CF4B5" w14:textId="77777777" w:rsidR="00116F12" w:rsidRDefault="00116F12" w:rsidP="0011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D162E">
        <w:rPr>
          <w:rFonts w:ascii="Times New Roman" w:hAnsi="Times New Roman"/>
          <w:b/>
          <w:sz w:val="20"/>
          <w:szCs w:val="20"/>
        </w:rPr>
        <w:t>Shenim</w:t>
      </w:r>
      <w:r w:rsidRPr="00BD162E">
        <w:rPr>
          <w:rFonts w:ascii="Times New Roman" w:hAnsi="Times New Roman"/>
          <w:sz w:val="20"/>
          <w:szCs w:val="20"/>
        </w:rPr>
        <w:t xml:space="preserve">: </w:t>
      </w:r>
      <w:r w:rsidRPr="00BD162E">
        <w:rPr>
          <w:rFonts w:ascii="Times New Roman" w:hAnsi="Times New Roman"/>
          <w:sz w:val="20"/>
          <w:szCs w:val="20"/>
          <w:lang w:val="en-US"/>
        </w:rPr>
        <w:t>Pjesëmarrësi në ankand, i cili tërhiqet nga ankandi pa dhënë asnjë ofertë për vlerën e objektit te shpallur për shitje, nuk i kthehet 20 % e vlerës fillestare, të ngurtësuar për pjesëmarrje në ankand.</w:t>
      </w:r>
    </w:p>
    <w:p w14:paraId="5254CCDF" w14:textId="77777777" w:rsidR="00116F12" w:rsidRPr="00116F12" w:rsidRDefault="00116F12" w:rsidP="0011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0"/>
          <w:lang w:val="en-US"/>
        </w:rPr>
      </w:pPr>
    </w:p>
    <w:p w14:paraId="1A447070" w14:textId="77777777" w:rsidR="00116F12" w:rsidRDefault="00116F12" w:rsidP="0011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162E">
        <w:rPr>
          <w:rFonts w:ascii="Times New Roman" w:hAnsi="Times New Roman"/>
          <w:sz w:val="20"/>
          <w:szCs w:val="20"/>
        </w:rPr>
        <w:t xml:space="preserve">Mandat pagesa apo Garancia bankare duhet të bëhet detyrimisht brenda afatit të pranimit të kërkesave për pjesëmarje në ankand. </w:t>
      </w:r>
      <w:r w:rsidRPr="00BD162E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 w:rsidRPr="00BD162E">
        <w:rPr>
          <w:rFonts w:ascii="Times New Roman" w:hAnsi="Times New Roman"/>
          <w:sz w:val="20"/>
          <w:szCs w:val="20"/>
        </w:rPr>
        <w:t xml:space="preserve">Mandat pagesa apo Garancia bankare apo mund të bëhen pranë çdo banke të nivelit të dytë në llogaritë respektive të hapura për </w:t>
      </w:r>
      <w:r>
        <w:rPr>
          <w:rFonts w:ascii="Times New Roman" w:hAnsi="Times New Roman"/>
          <w:sz w:val="20"/>
          <w:szCs w:val="20"/>
        </w:rPr>
        <w:t>Agjencin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e Administrimit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Pasurive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Sekuestruara dhe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Konfiskuara,</w:t>
      </w:r>
      <w:r w:rsidRPr="00BD162E">
        <w:rPr>
          <w:rFonts w:ascii="Times New Roman" w:hAnsi="Times New Roman"/>
          <w:sz w:val="20"/>
          <w:szCs w:val="20"/>
        </w:rPr>
        <w:t xml:space="preserve"> pasi të keni tërhequr pranë </w:t>
      </w:r>
      <w:r>
        <w:rPr>
          <w:rFonts w:ascii="Times New Roman" w:hAnsi="Times New Roman"/>
          <w:sz w:val="20"/>
          <w:szCs w:val="20"/>
        </w:rPr>
        <w:t>k</w:t>
      </w:r>
      <w:r w:rsidRPr="00BD162E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saj agjencie</w:t>
      </w:r>
      <w:r w:rsidRPr="00BD162E">
        <w:rPr>
          <w:rFonts w:ascii="Times New Roman" w:hAnsi="Times New Roman"/>
          <w:sz w:val="20"/>
          <w:szCs w:val="20"/>
        </w:rPr>
        <w:t xml:space="preserve"> faturën për arkëtim të plotësuar dhe të nënshkruar nga përfaqësuesi i institucionit.</w:t>
      </w:r>
    </w:p>
    <w:p w14:paraId="4E9A41F8" w14:textId="77777777" w:rsidR="00116F12" w:rsidRPr="00116F12" w:rsidRDefault="00116F12" w:rsidP="0011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14:paraId="0EE1934D" w14:textId="77777777" w:rsidR="00116F12" w:rsidRDefault="00116F12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  <w:r w:rsidRPr="00BD162E">
        <w:rPr>
          <w:rFonts w:ascii="Times New Roman" w:hAnsi="Times New Roman"/>
          <w:sz w:val="20"/>
          <w:szCs w:val="20"/>
          <w:lang w:val="en-US" w:eastAsia="en-US"/>
        </w:rPr>
        <w:t xml:space="preserve">Këto informacione gjenden edhe në faqen e internetit të Ministrisë së Financave </w:t>
      </w:r>
      <w:hyperlink r:id="rId7" w:history="1">
        <w:r w:rsidRPr="00BD162E">
          <w:rPr>
            <w:rStyle w:val="Hyperlink"/>
            <w:rFonts w:ascii="Times New Roman" w:hAnsi="Times New Roman"/>
            <w:sz w:val="20"/>
            <w:szCs w:val="20"/>
            <w:lang w:val="en-US" w:eastAsia="en-US"/>
          </w:rPr>
          <w:t>www.financa.gov.al</w:t>
        </w:r>
      </w:hyperlink>
    </w:p>
    <w:p w14:paraId="02AF2E12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70F24F4B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0F11A303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5D3B4D20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00C3C67F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08CD5827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5AD33857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539A13C2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43AC187A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2C2869DC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7FDD00EC" w14:textId="77777777" w:rsidR="00012A11" w:rsidRPr="00B837F0" w:rsidRDefault="00012A11" w:rsidP="00012A11">
      <w:pPr>
        <w:tabs>
          <w:tab w:val="left" w:pos="0"/>
        </w:tabs>
        <w:spacing w:after="0"/>
        <w:jc w:val="center"/>
        <w:rPr>
          <w:rFonts w:ascii="Times New Roman" w:hAnsi="Times New Roman"/>
          <w:sz w:val="12"/>
          <w:szCs w:val="24"/>
        </w:rPr>
      </w:pPr>
      <w:r w:rsidRPr="00B837F0">
        <w:rPr>
          <w:rFonts w:ascii="Book Antiqua" w:hAnsi="Book Antiqua"/>
          <w:noProof/>
          <w:sz w:val="2"/>
          <w:szCs w:val="6"/>
        </w:rPr>
        <w:drawing>
          <wp:anchor distT="0" distB="0" distL="114300" distR="114300" simplePos="0" relativeHeight="251661312" behindDoc="0" locked="0" layoutInCell="1" allowOverlap="1" wp14:anchorId="7A81E05E" wp14:editId="63895E5F">
            <wp:simplePos x="0" y="0"/>
            <wp:positionH relativeFrom="margin">
              <wp:align>center</wp:align>
            </wp:positionH>
            <wp:positionV relativeFrom="page">
              <wp:posOffset>228600</wp:posOffset>
            </wp:positionV>
            <wp:extent cx="7470140" cy="628650"/>
            <wp:effectExtent l="0" t="0" r="0" b="0"/>
            <wp:wrapSquare wrapText="bothSides"/>
            <wp:docPr id="109948499" name="Picture 109948499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C9283" w14:textId="0446E01E" w:rsidR="00012A11" w:rsidRPr="00B837F0" w:rsidRDefault="00012A11" w:rsidP="00012A11">
      <w:pPr>
        <w:tabs>
          <w:tab w:val="left" w:pos="0"/>
        </w:tabs>
        <w:spacing w:after="0"/>
        <w:jc w:val="center"/>
        <w:rPr>
          <w:rFonts w:ascii="Times New Roman" w:hAnsi="Times New Roman"/>
          <w:sz w:val="12"/>
          <w:szCs w:val="24"/>
        </w:rPr>
      </w:pPr>
    </w:p>
    <w:p w14:paraId="1AFDB77C" w14:textId="77777777" w:rsidR="00012A11" w:rsidRPr="00B837F0" w:rsidRDefault="00012A11" w:rsidP="00012A11">
      <w:pPr>
        <w:tabs>
          <w:tab w:val="left" w:pos="0"/>
        </w:tabs>
        <w:spacing w:after="0"/>
        <w:jc w:val="center"/>
        <w:rPr>
          <w:rFonts w:ascii="Times New Roman" w:hAnsi="Times New Roman"/>
          <w:sz w:val="12"/>
          <w:szCs w:val="24"/>
        </w:rPr>
      </w:pPr>
    </w:p>
    <w:p w14:paraId="1274C852" w14:textId="77777777" w:rsidR="00012A11" w:rsidRPr="00B837F0" w:rsidRDefault="00012A11" w:rsidP="00012A11">
      <w:pPr>
        <w:spacing w:after="0" w:line="240" w:lineRule="auto"/>
        <w:rPr>
          <w:rFonts w:ascii="Book Antiqua" w:hAnsi="Book Antiqua"/>
          <w:sz w:val="2"/>
          <w:szCs w:val="2"/>
          <w:lang w:eastAsia="en-US"/>
        </w:rPr>
      </w:pPr>
    </w:p>
    <w:p w14:paraId="2535B514" w14:textId="77777777" w:rsidR="00012A11" w:rsidRPr="00B837F0" w:rsidRDefault="00012A11" w:rsidP="00012A11">
      <w:pPr>
        <w:tabs>
          <w:tab w:val="left" w:pos="3870"/>
        </w:tabs>
        <w:spacing w:after="0" w:line="240" w:lineRule="auto"/>
        <w:rPr>
          <w:rFonts w:ascii="Book Antiqua" w:hAnsi="Book Antiqua"/>
          <w:sz w:val="2"/>
          <w:szCs w:val="6"/>
          <w:lang w:eastAsia="en-US"/>
        </w:rPr>
      </w:pPr>
      <w:r w:rsidRPr="00B837F0">
        <w:rPr>
          <w:rFonts w:ascii="Book Antiqua" w:hAnsi="Book Antiqua"/>
          <w:sz w:val="2"/>
          <w:szCs w:val="6"/>
          <w:lang w:eastAsia="en-US"/>
        </w:rPr>
        <w:tab/>
      </w:r>
    </w:p>
    <w:p w14:paraId="18707817" w14:textId="77777777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  <w:lang w:eastAsia="en-US"/>
        </w:rPr>
      </w:pPr>
    </w:p>
    <w:p w14:paraId="2DBBCA32" w14:textId="77777777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  <w:lang w:eastAsia="en-US"/>
        </w:rPr>
      </w:pPr>
    </w:p>
    <w:p w14:paraId="1848B0B7" w14:textId="44F92AA2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37B01A13" w14:textId="7198F6E5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0CF6E78C" w14:textId="77777777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462B82EE" w14:textId="77777777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6587553A" w14:textId="77777777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34642E92" w14:textId="77777777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07FDC550" w14:textId="77777777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18B0BB78" w14:textId="77777777" w:rsidR="00012A11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</w:p>
    <w:p w14:paraId="79E50A37" w14:textId="75B4679C" w:rsidR="00012A11" w:rsidRPr="00B837F0" w:rsidRDefault="00012A11" w:rsidP="00012A11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en-US"/>
        </w:rPr>
      </w:pPr>
      <w:r w:rsidRPr="00B837F0">
        <w:rPr>
          <w:rFonts w:ascii="Book Antiqua" w:hAnsi="Book Antiqua"/>
          <w:noProof/>
          <w:sz w:val="2"/>
          <w:szCs w:val="6"/>
        </w:rPr>
        <w:drawing>
          <wp:anchor distT="0" distB="0" distL="114300" distR="114300" simplePos="0" relativeHeight="251663360" behindDoc="0" locked="0" layoutInCell="1" allowOverlap="1" wp14:anchorId="5D6E7B88" wp14:editId="50F0D1A4">
            <wp:simplePos x="0" y="0"/>
            <wp:positionH relativeFrom="margin">
              <wp:posOffset>845185</wp:posOffset>
            </wp:positionH>
            <wp:positionV relativeFrom="page">
              <wp:posOffset>931545</wp:posOffset>
            </wp:positionV>
            <wp:extent cx="7470140" cy="628650"/>
            <wp:effectExtent l="0" t="0" r="0" b="0"/>
            <wp:wrapSquare wrapText="bothSides"/>
            <wp:docPr id="774694875" name="Picture 774694875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F0">
        <w:rPr>
          <w:rFonts w:ascii="Times New Roman" w:hAnsi="Times New Roman"/>
          <w:b/>
          <w:sz w:val="16"/>
          <w:szCs w:val="24"/>
          <w:lang w:eastAsia="en-US"/>
        </w:rPr>
        <w:t>MINISTRIA</w:t>
      </w:r>
      <w:r>
        <w:rPr>
          <w:rFonts w:ascii="Times New Roman" w:hAnsi="Times New Roman"/>
          <w:b/>
          <w:sz w:val="16"/>
          <w:szCs w:val="24"/>
          <w:lang w:eastAsia="en-US"/>
        </w:rPr>
        <w:t xml:space="preserve"> E </w:t>
      </w:r>
      <w:r w:rsidRPr="00B837F0">
        <w:rPr>
          <w:rFonts w:ascii="Times New Roman" w:hAnsi="Times New Roman"/>
          <w:b/>
          <w:sz w:val="16"/>
          <w:szCs w:val="24"/>
          <w:lang w:eastAsia="en-US"/>
        </w:rPr>
        <w:t>FINANCAVE DHE EKONOMISË</w:t>
      </w:r>
    </w:p>
    <w:p w14:paraId="62C5CC7A" w14:textId="77777777" w:rsidR="00012A11" w:rsidRPr="00B837F0" w:rsidRDefault="00012A11" w:rsidP="00012A11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24"/>
          <w:lang w:eastAsia="en-US"/>
        </w:rPr>
      </w:pPr>
      <w:r w:rsidRPr="00B837F0">
        <w:rPr>
          <w:rFonts w:ascii="Times New Roman" w:hAnsi="Times New Roman"/>
          <w:b/>
          <w:caps/>
          <w:sz w:val="16"/>
          <w:szCs w:val="24"/>
          <w:lang w:eastAsia="en-US"/>
        </w:rPr>
        <w:t>DREJTORIA E PËRGJITHSHME E PRONËS PUBLIKE</w:t>
      </w:r>
    </w:p>
    <w:p w14:paraId="59423EC2" w14:textId="77777777" w:rsidR="00012A11" w:rsidRPr="00B837F0" w:rsidRDefault="00012A11" w:rsidP="00012A11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24"/>
          <w:lang w:eastAsia="en-US"/>
        </w:rPr>
      </w:pPr>
      <w:r w:rsidRPr="00B837F0">
        <w:rPr>
          <w:rFonts w:ascii="Times New Roman" w:hAnsi="Times New Roman"/>
          <w:b/>
          <w:caps/>
          <w:sz w:val="16"/>
          <w:szCs w:val="24"/>
          <w:lang w:eastAsia="en-US"/>
        </w:rPr>
        <w:t xml:space="preserve">DREJTORIA E pRIVATIZIMIT DHE SHITJES </w:t>
      </w:r>
    </w:p>
    <w:p w14:paraId="0A726BE7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7A5EE1BB" w14:textId="77777777" w:rsidR="00012A11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</w:p>
    <w:p w14:paraId="115989E2" w14:textId="5E6C183B" w:rsidR="00012A11" w:rsidRPr="00391714" w:rsidRDefault="00012A11" w:rsidP="00012A1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478AE">
        <w:rPr>
          <w:rFonts w:ascii="Times New Roman" w:hAnsi="Times New Roman"/>
          <w:sz w:val="24"/>
          <w:szCs w:val="24"/>
        </w:rPr>
        <w:t xml:space="preserve">Në zbatim të 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VKM Nr. </w:t>
      </w:r>
      <w:r>
        <w:rPr>
          <w:rFonts w:ascii="Times New Roman" w:hAnsi="Times New Roman"/>
          <w:sz w:val="24"/>
          <w:szCs w:val="24"/>
          <w:lang w:val="it-IT"/>
        </w:rPr>
        <w:t>888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, datë </w:t>
      </w:r>
      <w:r>
        <w:rPr>
          <w:rFonts w:ascii="Times New Roman" w:hAnsi="Times New Roman"/>
          <w:sz w:val="24"/>
          <w:szCs w:val="24"/>
          <w:lang w:val="it-IT"/>
        </w:rPr>
        <w:t>11.11.202</w:t>
      </w:r>
      <w:r w:rsidRPr="00C478AE">
        <w:rPr>
          <w:rFonts w:ascii="Times New Roman" w:hAnsi="Times New Roman"/>
          <w:sz w:val="24"/>
          <w:szCs w:val="24"/>
          <w:lang w:val="it-IT"/>
        </w:rPr>
        <w:t>0 "Për përcak</w:t>
      </w:r>
      <w:r>
        <w:rPr>
          <w:rFonts w:ascii="Times New Roman" w:hAnsi="Times New Roman"/>
          <w:sz w:val="24"/>
          <w:szCs w:val="24"/>
          <w:lang w:val="it-IT"/>
        </w:rPr>
        <w:t>timin e kritereve të vlerësimit</w:t>
      </w:r>
      <w:r w:rsidRPr="00C478AE">
        <w:rPr>
          <w:rFonts w:ascii="Times New Roman" w:hAnsi="Times New Roman"/>
          <w:sz w:val="24"/>
          <w:szCs w:val="24"/>
          <w:lang w:val="it-IT"/>
        </w:rPr>
        <w:t>, mënyra</w:t>
      </w:r>
      <w:r>
        <w:rPr>
          <w:rFonts w:ascii="Times New Roman" w:hAnsi="Times New Roman"/>
          <w:sz w:val="24"/>
          <w:szCs w:val="24"/>
          <w:lang w:val="it-IT"/>
        </w:rPr>
        <w:t>t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 dhe procedura</w:t>
      </w:r>
      <w:r>
        <w:rPr>
          <w:rFonts w:ascii="Times New Roman" w:hAnsi="Times New Roman"/>
          <w:sz w:val="24"/>
          <w:szCs w:val="24"/>
          <w:lang w:val="it-IT"/>
        </w:rPr>
        <w:t>t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C478AE">
        <w:rPr>
          <w:rFonts w:ascii="Times New Roman" w:hAnsi="Times New Roman"/>
          <w:sz w:val="24"/>
          <w:szCs w:val="24"/>
          <w:lang w:val="it-IT"/>
        </w:rPr>
        <w:t xml:space="preserve"> dhënies në përdorim </w:t>
      </w:r>
      <w:r>
        <w:rPr>
          <w:rFonts w:ascii="Times New Roman" w:hAnsi="Times New Roman"/>
          <w:sz w:val="24"/>
          <w:szCs w:val="24"/>
          <w:lang w:val="it-IT"/>
        </w:rPr>
        <w:t>dh</w:t>
      </w:r>
      <w:r w:rsidRPr="00C478AE">
        <w:rPr>
          <w:rFonts w:ascii="Times New Roman" w:hAnsi="Times New Roman"/>
          <w:sz w:val="24"/>
          <w:szCs w:val="24"/>
          <w:lang w:val="it-IT"/>
        </w:rPr>
        <w:t>e të tjetërs</w:t>
      </w:r>
      <w:r>
        <w:rPr>
          <w:rFonts w:ascii="Times New Roman" w:hAnsi="Times New Roman"/>
          <w:sz w:val="24"/>
          <w:szCs w:val="24"/>
          <w:lang w:val="it-IT"/>
        </w:rPr>
        <w:t>imit të pasurive të konfiskuara</w:t>
      </w:r>
      <w:r w:rsidRPr="00C478AE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 xml:space="preserve"> si dhe n</w:t>
      </w:r>
      <w:r w:rsidRPr="00AF0CFF">
        <w:rPr>
          <w:rFonts w:ascii="Times New Roman" w:hAnsi="Times New Roman"/>
          <w:sz w:val="24"/>
          <w:szCs w:val="24"/>
        </w:rPr>
        <w:t xml:space="preserve">ë zbatim të VKM Nr. 926, datë 29.12.2014 "Për kriteret e vlerësimit të pronës shtetërore, që privatizohet apo transformohet dhe procedurën e shitjes", </w:t>
      </w:r>
      <w:r>
        <w:rPr>
          <w:rFonts w:ascii="Times New Roman" w:hAnsi="Times New Roman"/>
          <w:sz w:val="24"/>
          <w:szCs w:val="24"/>
        </w:rPr>
        <w:t xml:space="preserve">i ndryshuar, </w:t>
      </w:r>
      <w:r w:rsidRPr="00AF0CFF">
        <w:rPr>
          <w:rFonts w:ascii="Times New Roman" w:hAnsi="Times New Roman"/>
          <w:sz w:val="24"/>
          <w:szCs w:val="24"/>
        </w:rPr>
        <w:t>kapitulli III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37843">
        <w:rPr>
          <w:rFonts w:ascii="Times New Roman" w:hAnsi="Times New Roman"/>
          <w:sz w:val="24"/>
          <w:szCs w:val="24"/>
        </w:rPr>
        <w:t>shpall</w:t>
      </w:r>
      <w:r>
        <w:rPr>
          <w:rFonts w:ascii="Times New Roman" w:hAnsi="Times New Roman"/>
          <w:sz w:val="24"/>
          <w:szCs w:val="24"/>
        </w:rPr>
        <w:t>en</w:t>
      </w:r>
      <w:r w:rsidRPr="00537843">
        <w:rPr>
          <w:rFonts w:ascii="Times New Roman" w:hAnsi="Times New Roman"/>
          <w:sz w:val="24"/>
          <w:szCs w:val="24"/>
        </w:rPr>
        <w:t xml:space="preserve"> për shitje</w:t>
      </w:r>
      <w:r>
        <w:rPr>
          <w:rFonts w:ascii="Times New Roman" w:hAnsi="Times New Roman"/>
          <w:sz w:val="24"/>
          <w:szCs w:val="24"/>
        </w:rPr>
        <w:t xml:space="preserve"> me çmim 50 % më të ulët se çmimi fillestar i ulur me 30%, </w:t>
      </w:r>
      <w:r>
        <w:rPr>
          <w:rFonts w:ascii="Times New Roman" w:hAnsi="Times New Roman"/>
          <w:lang w:val="it-IT"/>
        </w:rPr>
        <w:t xml:space="preserve">për një periudhë 10-ditore,  </w:t>
      </w:r>
      <w:r>
        <w:rPr>
          <w:lang w:val="it-IT"/>
        </w:rPr>
        <w:t xml:space="preserve"> </w:t>
      </w:r>
      <w:r>
        <w:rPr>
          <w:rFonts w:ascii="Times New Roman" w:hAnsi="Times New Roman"/>
          <w:sz w:val="24"/>
          <w:szCs w:val="24"/>
        </w:rPr>
        <w:t>si më poshtë</w:t>
      </w:r>
      <w:r w:rsidRPr="00AF0CFF">
        <w:rPr>
          <w:rFonts w:ascii="Times New Roman" w:hAnsi="Times New Roman"/>
          <w:sz w:val="24"/>
          <w:szCs w:val="24"/>
        </w:rPr>
        <w:t>:</w:t>
      </w:r>
    </w:p>
    <w:p w14:paraId="330B6869" w14:textId="77777777" w:rsidR="00012A11" w:rsidRPr="002A1BE8" w:rsidRDefault="00012A11" w:rsidP="00012A11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A1BE8">
        <w:rPr>
          <w:rFonts w:ascii="Times New Roman" w:hAnsi="Times New Roman"/>
          <w:b/>
          <w:bCs/>
          <w:sz w:val="24"/>
          <w:szCs w:val="24"/>
          <w:lang w:val="en-US"/>
        </w:rPr>
        <w:t>Në administrim të Agjencisë së Administrimit të Pasurive të Sekuestruara dhe të Konfiskuara</w:t>
      </w:r>
    </w:p>
    <w:tbl>
      <w:tblPr>
        <w:tblStyle w:val="TableGrid"/>
        <w:tblW w:w="1483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98"/>
        <w:gridCol w:w="2671"/>
        <w:gridCol w:w="1530"/>
        <w:gridCol w:w="1890"/>
        <w:gridCol w:w="1317"/>
        <w:gridCol w:w="1275"/>
        <w:gridCol w:w="1529"/>
        <w:gridCol w:w="1249"/>
        <w:gridCol w:w="1276"/>
        <w:gridCol w:w="756"/>
        <w:gridCol w:w="840"/>
      </w:tblGrid>
      <w:tr w:rsidR="00012A11" w14:paraId="75E97288" w14:textId="77777777" w:rsidTr="004C411B">
        <w:trPr>
          <w:trHeight w:val="39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5EA8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D0E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DF81CC1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Emertimi i objektit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35A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E19FFC1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Vendndodhja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6176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Vlerat (në lekë)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CE3F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Sipërfaqa e përgjithshme</w:t>
            </w:r>
          </w:p>
          <w:p w14:paraId="487D33AF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(m</w:t>
            </w:r>
            <w:r>
              <w:rPr>
                <w:rFonts w:ascii="Times New Roman" w:hAnsi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9087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Sipërfaqa nën objekt (m</w:t>
            </w:r>
            <w:r>
              <w:rPr>
                <w:rFonts w:ascii="Times New Roman" w:hAnsi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3741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Zhvillimi i Ankandit</w:t>
            </w:r>
          </w:p>
        </w:tc>
      </w:tr>
      <w:tr w:rsidR="00012A11" w14:paraId="08E803B6" w14:textId="77777777" w:rsidTr="004C411B">
        <w:trPr>
          <w:trHeight w:val="698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B4E8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F887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417D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2836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Vlera fillestare e ankandit</w:t>
            </w:r>
          </w:p>
          <w:p w14:paraId="12D26441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D3C7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Mjetet kryesore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3BAF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Njesi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5981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74CB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A2B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D0FB82E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E44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4D98393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564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539791D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Vendi</w:t>
            </w:r>
          </w:p>
        </w:tc>
      </w:tr>
      <w:tr w:rsidR="00012A11" w14:paraId="1744A13D" w14:textId="77777777" w:rsidTr="004C411B"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E31D1B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6EE0734A" w14:textId="77777777" w:rsidR="00012A11" w:rsidRPr="008152A7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</w:rPr>
              <w:t>Bodrum, me nr. 5/56-B2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B3DFF6" w14:textId="77777777" w:rsidR="00012A11" w:rsidRPr="0059670A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Shëngjin, Lezhë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3A06F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</w:rPr>
              <w:t>225 159.2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E816B" w14:textId="77777777" w:rsidR="00012A11" w:rsidRPr="006C160B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79719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</w:rPr>
              <w:t>225 159.2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C80E2" w14:textId="77777777" w:rsidR="00012A11" w:rsidRPr="00F925EF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F925EF">
              <w:rPr>
                <w:rFonts w:ascii="Times New Roman" w:hAnsi="Times New Roman"/>
                <w:b/>
              </w:rPr>
              <w:t>11.6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94008" w14:textId="77777777" w:rsidR="00012A11" w:rsidRPr="00D622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4A5C41" w14:textId="5E9102F3" w:rsidR="00012A11" w:rsidRPr="00D4404D" w:rsidRDefault="008D5DE4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012A11">
              <w:rPr>
                <w:rFonts w:ascii="Times New Roman" w:hAnsi="Times New Roman"/>
                <w:b/>
                <w:lang w:val="ga-IE"/>
              </w:rPr>
              <w:t>.0</w:t>
            </w:r>
            <w:r>
              <w:rPr>
                <w:rFonts w:ascii="Times New Roman" w:hAnsi="Times New Roman"/>
                <w:b/>
              </w:rPr>
              <w:t>8</w:t>
            </w:r>
            <w:r w:rsidR="00012A11">
              <w:rPr>
                <w:rFonts w:ascii="Times New Roman" w:hAnsi="Times New Roman"/>
                <w:b/>
                <w:lang w:val="ga-IE"/>
              </w:rPr>
              <w:t>.20</w:t>
            </w:r>
            <w:r w:rsidR="00012A11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C2126F" w14:textId="5FEF5E67" w:rsidR="00012A11" w:rsidRPr="00391714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ga-IE"/>
              </w:rPr>
              <w:t xml:space="preserve"> </w:t>
            </w:r>
            <w:r>
              <w:rPr>
                <w:rFonts w:ascii="Times New Roman" w:hAnsi="Times New Roman"/>
                <w:b/>
                <w:lang w:val="sq-AL"/>
              </w:rPr>
              <w:t>10:</w:t>
            </w:r>
            <w:r w:rsidR="008D5DE4">
              <w:rPr>
                <w:rFonts w:ascii="Times New Roman" w:hAnsi="Times New Roman"/>
                <w:b/>
                <w:lang w:val="sq-AL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4A30F2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DPSH</w:t>
            </w:r>
          </w:p>
        </w:tc>
      </w:tr>
    </w:tbl>
    <w:p w14:paraId="3EEA553C" w14:textId="77777777" w:rsidR="00012A11" w:rsidRDefault="00012A11" w:rsidP="00012A11">
      <w:pPr>
        <w:pStyle w:val="NoSpacing"/>
        <w:rPr>
          <w:lang w:val="en-US"/>
        </w:rPr>
      </w:pPr>
    </w:p>
    <w:p w14:paraId="3ED4C1DA" w14:textId="77777777" w:rsidR="00012A11" w:rsidRDefault="00012A11" w:rsidP="00012A11">
      <w:pPr>
        <w:pStyle w:val="NoSpacing"/>
        <w:rPr>
          <w:lang w:val="en-US"/>
        </w:rPr>
      </w:pPr>
    </w:p>
    <w:p w14:paraId="031DA6FC" w14:textId="77777777" w:rsidR="00012A11" w:rsidRDefault="00012A11" w:rsidP="00012A11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41E8">
        <w:rPr>
          <w:rFonts w:ascii="Times New Roman" w:hAnsi="Times New Roman"/>
          <w:b/>
          <w:bCs/>
          <w:sz w:val="24"/>
          <w:szCs w:val="24"/>
          <w:lang w:val="en-US"/>
        </w:rPr>
        <w:t>Në administrim të Agjencisë së Administrimit të Pasurive të Sekuestruara dhe të Konfiskuara</w:t>
      </w:r>
    </w:p>
    <w:tbl>
      <w:tblPr>
        <w:tblStyle w:val="TableGrid"/>
        <w:tblW w:w="1483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98"/>
        <w:gridCol w:w="2671"/>
        <w:gridCol w:w="1530"/>
        <w:gridCol w:w="1890"/>
        <w:gridCol w:w="1317"/>
        <w:gridCol w:w="1275"/>
        <w:gridCol w:w="1529"/>
        <w:gridCol w:w="1249"/>
        <w:gridCol w:w="1134"/>
        <w:gridCol w:w="898"/>
        <w:gridCol w:w="840"/>
      </w:tblGrid>
      <w:tr w:rsidR="00012A11" w14:paraId="004B1FBB" w14:textId="77777777" w:rsidTr="004C411B">
        <w:trPr>
          <w:trHeight w:val="39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BC68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7BA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F703229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Emertimi i objektit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5B2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6B5CF98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Vendndodhja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E3A5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Vlerat (në lekë)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FA3A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Sipërfaqa e përgjithshme</w:t>
            </w:r>
          </w:p>
          <w:p w14:paraId="596228E8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(m</w:t>
            </w:r>
            <w:r>
              <w:rPr>
                <w:rFonts w:ascii="Times New Roman" w:hAnsi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4213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Sipërfaqa nën objekt (m</w:t>
            </w:r>
            <w:r>
              <w:rPr>
                <w:rFonts w:ascii="Times New Roman" w:hAnsi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8BB4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Zhvillimi i Ankandit</w:t>
            </w:r>
          </w:p>
        </w:tc>
      </w:tr>
      <w:tr w:rsidR="00012A11" w14:paraId="6D6D5311" w14:textId="77777777" w:rsidTr="004C411B">
        <w:trPr>
          <w:trHeight w:val="698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0A45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E1E4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D47A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0E55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Vlera fillestare e ankandit</w:t>
            </w:r>
          </w:p>
          <w:p w14:paraId="6A27ADB1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3ED6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Mjetet kryesore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1ED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Njesi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6DD5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48B7" w14:textId="77777777" w:rsidR="00012A11" w:rsidRDefault="00012A11" w:rsidP="004C4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6123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1AE2838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E87F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B694F84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CB3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2B74F63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Vendi</w:t>
            </w:r>
          </w:p>
        </w:tc>
      </w:tr>
      <w:tr w:rsidR="00012A11" w14:paraId="7836024F" w14:textId="77777777" w:rsidTr="004C411B"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18A5AB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4A985994" w14:textId="77777777" w:rsidR="00012A11" w:rsidRPr="008152A7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 w:rsidRPr="00F925EF">
              <w:rPr>
                <w:rFonts w:ascii="Times New Roman" w:hAnsi="Times New Roman"/>
                <w:b/>
              </w:rPr>
              <w:t>Bodrum,</w:t>
            </w:r>
            <w:r>
              <w:rPr>
                <w:rFonts w:ascii="Times New Roman" w:hAnsi="Times New Roman"/>
                <w:b/>
              </w:rPr>
              <w:t xml:space="preserve"> me nr. 5/56-B3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B14F0B" w14:textId="77777777" w:rsidR="00012A11" w:rsidRPr="0059670A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Shëngjin, Lezhë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22F64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</w:rPr>
              <w:t>225 159.2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0D35E" w14:textId="77777777" w:rsidR="00012A11" w:rsidRPr="006C160B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96DED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</w:rPr>
              <w:t>225 159.2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B0073" w14:textId="77777777" w:rsidR="00012A11" w:rsidRPr="00A8069F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925EF">
              <w:rPr>
                <w:rFonts w:ascii="Times New Roman" w:hAnsi="Times New Roman"/>
                <w:b/>
              </w:rPr>
              <w:t>11.6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D366F" w14:textId="77777777" w:rsidR="00012A11" w:rsidRPr="00D622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3E276D" w14:textId="0DB9C591" w:rsidR="00012A11" w:rsidRPr="00D4404D" w:rsidRDefault="008D5DE4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012A11">
              <w:rPr>
                <w:rFonts w:ascii="Times New Roman" w:hAnsi="Times New Roman"/>
                <w:b/>
                <w:lang w:val="ga-IE"/>
              </w:rPr>
              <w:t>.0</w:t>
            </w:r>
            <w:r>
              <w:rPr>
                <w:rFonts w:ascii="Times New Roman" w:hAnsi="Times New Roman"/>
                <w:b/>
              </w:rPr>
              <w:t>8</w:t>
            </w:r>
            <w:r w:rsidR="00012A11">
              <w:rPr>
                <w:rFonts w:ascii="Times New Roman" w:hAnsi="Times New Roman"/>
                <w:b/>
                <w:lang w:val="ga-IE"/>
              </w:rPr>
              <w:t>.20</w:t>
            </w:r>
            <w:r w:rsidR="00012A11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7B580A" w14:textId="2396B0B3" w:rsidR="00012A11" w:rsidRPr="00B5209F" w:rsidRDefault="008D5DE4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lang w:val="ga-IE"/>
              </w:rPr>
            </w:pPr>
            <w:r>
              <w:rPr>
                <w:rFonts w:ascii="Times New Roman" w:hAnsi="Times New Roman"/>
                <w:b/>
                <w:lang w:val="sq-AL"/>
              </w:rPr>
              <w:t>11</w:t>
            </w:r>
            <w:r w:rsidR="00012A11">
              <w:rPr>
                <w:rFonts w:ascii="Times New Roman" w:hAnsi="Times New Roman"/>
                <w:b/>
                <w:lang w:val="sq-AL"/>
              </w:rPr>
              <w:t>:</w:t>
            </w:r>
            <w:r>
              <w:rPr>
                <w:rFonts w:ascii="Times New Roman" w:hAnsi="Times New Roman"/>
                <w:b/>
                <w:lang w:val="sq-AL"/>
              </w:rPr>
              <w:t>00</w:t>
            </w:r>
            <w:r w:rsidR="00012A11">
              <w:rPr>
                <w:rFonts w:ascii="Times New Roman" w:hAnsi="Times New Roman"/>
                <w:b/>
                <w:lang w:val="ga-IE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ED5080" w14:textId="77777777" w:rsidR="00012A11" w:rsidRDefault="00012A11" w:rsidP="004C411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DPSH</w:t>
            </w:r>
          </w:p>
        </w:tc>
      </w:tr>
    </w:tbl>
    <w:p w14:paraId="4B03794C" w14:textId="77777777" w:rsidR="00012A11" w:rsidRPr="00EE59D8" w:rsidRDefault="00012A11" w:rsidP="00012A11">
      <w:p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573A609" w14:textId="77777777" w:rsidR="00012A11" w:rsidRPr="00C66425" w:rsidRDefault="00012A11" w:rsidP="00012A1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66425">
        <w:rPr>
          <w:rFonts w:ascii="Times New Roman" w:hAnsi="Times New Roman"/>
          <w:b/>
          <w:sz w:val="20"/>
          <w:szCs w:val="20"/>
        </w:rPr>
        <w:t>Çdo person fizik apo juridik i interesuar për blerje me ankand</w:t>
      </w:r>
      <w:r w:rsidRPr="00C66425">
        <w:rPr>
          <w:rFonts w:ascii="Times New Roman" w:hAnsi="Times New Roman"/>
          <w:sz w:val="20"/>
          <w:szCs w:val="20"/>
        </w:rPr>
        <w:t xml:space="preserve"> duhet të paraqesë në vendin, datën dhe orën e njoftuar pranë komisionit të ankandit dokumentacionin si më poshtë:</w:t>
      </w:r>
    </w:p>
    <w:p w14:paraId="70B596AF" w14:textId="77777777" w:rsidR="00012A11" w:rsidRPr="00C66425" w:rsidRDefault="00012A11" w:rsidP="00012A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66425">
        <w:rPr>
          <w:rFonts w:ascii="Times New Roman" w:hAnsi="Times New Roman"/>
          <w:b/>
          <w:sz w:val="20"/>
          <w:szCs w:val="20"/>
        </w:rPr>
        <w:t>Kërkesë me shkrim</w:t>
      </w:r>
      <w:r w:rsidRPr="00C66425">
        <w:rPr>
          <w:rFonts w:ascii="Times New Roman" w:hAnsi="Times New Roman"/>
          <w:sz w:val="20"/>
          <w:szCs w:val="20"/>
        </w:rPr>
        <w:t xml:space="preserve"> për blerjen e objektit apo ndermarjes e regjistruar pranë protokollit të Ministrisë së Financave</w:t>
      </w:r>
      <w:r>
        <w:rPr>
          <w:rFonts w:ascii="Times New Roman" w:hAnsi="Times New Roman"/>
          <w:sz w:val="20"/>
          <w:szCs w:val="20"/>
          <w:lang w:val="ga-IE"/>
        </w:rPr>
        <w:t xml:space="preserve"> dhe Ekonomise</w:t>
      </w:r>
      <w:r w:rsidRPr="00C66425">
        <w:rPr>
          <w:rFonts w:ascii="Times New Roman" w:hAnsi="Times New Roman"/>
          <w:sz w:val="20"/>
          <w:szCs w:val="20"/>
        </w:rPr>
        <w:t>.</w:t>
      </w:r>
    </w:p>
    <w:p w14:paraId="0162BBAD" w14:textId="77777777" w:rsidR="00012A11" w:rsidRDefault="00012A11" w:rsidP="00012A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66425">
        <w:rPr>
          <w:rFonts w:ascii="Times New Roman" w:hAnsi="Times New Roman"/>
          <w:b/>
          <w:sz w:val="20"/>
          <w:szCs w:val="20"/>
        </w:rPr>
        <w:t xml:space="preserve">Mandat pagesën apo Garancinë bankare </w:t>
      </w:r>
      <w:r w:rsidRPr="00C66425">
        <w:rPr>
          <w:rFonts w:ascii="Times New Roman" w:hAnsi="Times New Roman"/>
          <w:sz w:val="20"/>
          <w:szCs w:val="20"/>
        </w:rPr>
        <w:t xml:space="preserve">në origjinal që vërteton derdhjen apo ngurtësimin e 20 % të vlerës së fillimit të ankandit, në lekë për llogari të </w:t>
      </w:r>
      <w:r>
        <w:rPr>
          <w:rFonts w:ascii="Times New Roman" w:hAnsi="Times New Roman"/>
          <w:sz w:val="20"/>
          <w:szCs w:val="20"/>
        </w:rPr>
        <w:t>Agjencis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s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Administrimit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Pasurive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Sekuestruara dhe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Konfiskuara</w:t>
      </w:r>
      <w:r w:rsidRPr="00C66425">
        <w:rPr>
          <w:rFonts w:ascii="Times New Roman" w:hAnsi="Times New Roman"/>
          <w:sz w:val="20"/>
          <w:szCs w:val="20"/>
        </w:rPr>
        <w:t>.</w:t>
      </w:r>
    </w:p>
    <w:p w14:paraId="43C69851" w14:textId="77777777" w:rsidR="00012A11" w:rsidRPr="00C66425" w:rsidRDefault="00012A11" w:rsidP="00012A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Deklarimin personal </w:t>
      </w:r>
      <w:r w:rsidRPr="001F3DB3">
        <w:rPr>
          <w:rFonts w:ascii="Times New Roman" w:hAnsi="Times New Roman"/>
          <w:b/>
          <w:sz w:val="20"/>
          <w:szCs w:val="20"/>
        </w:rPr>
        <w:t>të secilit pjesëmarrës,</w:t>
      </w:r>
      <w:r>
        <w:rPr>
          <w:rFonts w:ascii="Times New Roman" w:hAnsi="Times New Roman"/>
          <w:sz w:val="20"/>
          <w:szCs w:val="20"/>
        </w:rPr>
        <w:t xml:space="preserve"> q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v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rteton se ky i fundit nuk 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sht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n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konflikt interesi, sipas dispozitave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ligjit Nr. 10192, dat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03.12.2009,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ndryshuar dhe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ligjit Nr. 34/2019,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ndryshuar.</w:t>
      </w:r>
    </w:p>
    <w:p w14:paraId="34CE254F" w14:textId="77777777" w:rsidR="00012A11" w:rsidRPr="00BD162E" w:rsidRDefault="00012A11" w:rsidP="00012A1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D162E">
        <w:rPr>
          <w:rFonts w:ascii="Times New Roman" w:hAnsi="Times New Roman"/>
          <w:b/>
          <w:sz w:val="20"/>
          <w:szCs w:val="20"/>
        </w:rPr>
        <w:t xml:space="preserve">Dokument identifikimi </w:t>
      </w:r>
      <w:r w:rsidRPr="00BD162E">
        <w:rPr>
          <w:rFonts w:ascii="Times New Roman" w:hAnsi="Times New Roman"/>
          <w:sz w:val="20"/>
          <w:szCs w:val="20"/>
        </w:rPr>
        <w:t>(pasaportë biometrike ose letërnjoftim).</w:t>
      </w:r>
    </w:p>
    <w:p w14:paraId="637A0A62" w14:textId="77777777" w:rsidR="00012A11" w:rsidRDefault="00012A11" w:rsidP="0001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D162E">
        <w:rPr>
          <w:rFonts w:ascii="Times New Roman" w:hAnsi="Times New Roman"/>
          <w:b/>
          <w:sz w:val="20"/>
          <w:szCs w:val="20"/>
        </w:rPr>
        <w:lastRenderedPageBreak/>
        <w:t>Shenim</w:t>
      </w:r>
      <w:r w:rsidRPr="00BD162E">
        <w:rPr>
          <w:rFonts w:ascii="Times New Roman" w:hAnsi="Times New Roman"/>
          <w:sz w:val="20"/>
          <w:szCs w:val="20"/>
        </w:rPr>
        <w:t xml:space="preserve">: </w:t>
      </w:r>
      <w:r w:rsidRPr="00BD162E">
        <w:rPr>
          <w:rFonts w:ascii="Times New Roman" w:hAnsi="Times New Roman"/>
          <w:sz w:val="20"/>
          <w:szCs w:val="20"/>
          <w:lang w:val="en-US"/>
        </w:rPr>
        <w:t>Pjesëmarrësi në ankand, i cili tërhiqet nga ankandi pa dhënë asnjë ofertë për vlerën e objektit te shpallur për shitje, nuk i kthehet 20 % e vlerës fillestare, të ngurtësuar për pjesëmarrje në ankand.</w:t>
      </w:r>
    </w:p>
    <w:p w14:paraId="5BED44C4" w14:textId="77777777" w:rsidR="00012A11" w:rsidRPr="00116F12" w:rsidRDefault="00012A11" w:rsidP="0001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0"/>
          <w:lang w:val="en-US"/>
        </w:rPr>
      </w:pPr>
    </w:p>
    <w:p w14:paraId="3873F403" w14:textId="77777777" w:rsidR="00012A11" w:rsidRDefault="00012A11" w:rsidP="0001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162E">
        <w:rPr>
          <w:rFonts w:ascii="Times New Roman" w:hAnsi="Times New Roman"/>
          <w:sz w:val="20"/>
          <w:szCs w:val="20"/>
        </w:rPr>
        <w:t xml:space="preserve">Mandat pagesa apo Garancia bankare duhet të bëhet detyrimisht brenda afatit të pranimit të kërkesave për pjesëmarje në ankand. </w:t>
      </w:r>
      <w:r w:rsidRPr="00BD162E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 w:rsidRPr="00BD162E">
        <w:rPr>
          <w:rFonts w:ascii="Times New Roman" w:hAnsi="Times New Roman"/>
          <w:sz w:val="20"/>
          <w:szCs w:val="20"/>
        </w:rPr>
        <w:t xml:space="preserve">Mandat pagesa apo Garancia bankare apo mund të bëhen pranë çdo banke të nivelit të dytë në llogaritë respektive të hapura për </w:t>
      </w:r>
      <w:r>
        <w:rPr>
          <w:rFonts w:ascii="Times New Roman" w:hAnsi="Times New Roman"/>
          <w:sz w:val="20"/>
          <w:szCs w:val="20"/>
        </w:rPr>
        <w:t>Agjencin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e Administrimit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Pasurive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Sekuestruara dhe t</w:t>
      </w:r>
      <w:r w:rsidRPr="00C66425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Konfiskuara,</w:t>
      </w:r>
      <w:r w:rsidRPr="00BD162E">
        <w:rPr>
          <w:rFonts w:ascii="Times New Roman" w:hAnsi="Times New Roman"/>
          <w:sz w:val="20"/>
          <w:szCs w:val="20"/>
        </w:rPr>
        <w:t xml:space="preserve"> pasi të keni tërhequr pranë </w:t>
      </w:r>
      <w:r>
        <w:rPr>
          <w:rFonts w:ascii="Times New Roman" w:hAnsi="Times New Roman"/>
          <w:sz w:val="20"/>
          <w:szCs w:val="20"/>
        </w:rPr>
        <w:t>k</w:t>
      </w:r>
      <w:r w:rsidRPr="00BD162E"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saj agjencie</w:t>
      </w:r>
      <w:r w:rsidRPr="00BD162E">
        <w:rPr>
          <w:rFonts w:ascii="Times New Roman" w:hAnsi="Times New Roman"/>
          <w:sz w:val="20"/>
          <w:szCs w:val="20"/>
        </w:rPr>
        <w:t xml:space="preserve"> faturën për arkëtim të plotësuar dhe të nënshkruar nga përfaqësuesi i institucionit.</w:t>
      </w:r>
    </w:p>
    <w:p w14:paraId="5364E4A4" w14:textId="77777777" w:rsidR="00012A11" w:rsidRPr="00116F12" w:rsidRDefault="00012A11" w:rsidP="0001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14:paraId="60A44157" w14:textId="77777777" w:rsidR="00012A11" w:rsidRDefault="00012A11" w:rsidP="00012A1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sz w:val="20"/>
          <w:szCs w:val="20"/>
          <w:lang w:val="en-US" w:eastAsia="en-US"/>
        </w:rPr>
      </w:pPr>
      <w:r w:rsidRPr="00BD162E">
        <w:rPr>
          <w:rFonts w:ascii="Times New Roman" w:hAnsi="Times New Roman"/>
          <w:sz w:val="20"/>
          <w:szCs w:val="20"/>
          <w:lang w:val="en-US" w:eastAsia="en-US"/>
        </w:rPr>
        <w:t xml:space="preserve">Këto informacione gjenden edhe në faqen e internetit të Ministrisë së Financave </w:t>
      </w:r>
      <w:hyperlink r:id="rId8" w:history="1">
        <w:r w:rsidRPr="00BD162E">
          <w:rPr>
            <w:rStyle w:val="Hyperlink"/>
            <w:rFonts w:ascii="Times New Roman" w:hAnsi="Times New Roman"/>
            <w:sz w:val="20"/>
            <w:szCs w:val="20"/>
            <w:lang w:val="en-US" w:eastAsia="en-US"/>
          </w:rPr>
          <w:t>www.financa.gov.al</w:t>
        </w:r>
      </w:hyperlink>
    </w:p>
    <w:p w14:paraId="0C00AF80" w14:textId="77777777" w:rsidR="00012A11" w:rsidRPr="00116F12" w:rsidRDefault="00012A11" w:rsidP="0011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en-US"/>
        </w:rPr>
      </w:pPr>
    </w:p>
    <w:sectPr w:rsidR="00012A11" w:rsidRPr="00116F12" w:rsidSect="00C076AE">
      <w:pgSz w:w="16838" w:h="11906" w:orient="landscape"/>
      <w:pgMar w:top="450" w:right="1178" w:bottom="270" w:left="117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749"/>
    <w:multiLevelType w:val="hybridMultilevel"/>
    <w:tmpl w:val="D6E6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638E6"/>
    <w:multiLevelType w:val="hybridMultilevel"/>
    <w:tmpl w:val="BF20B306"/>
    <w:lvl w:ilvl="0" w:tplc="0964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03FA6"/>
    <w:multiLevelType w:val="hybridMultilevel"/>
    <w:tmpl w:val="BF20B306"/>
    <w:lvl w:ilvl="0" w:tplc="0964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20E43"/>
    <w:multiLevelType w:val="hybridMultilevel"/>
    <w:tmpl w:val="D6E6E1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038AA"/>
    <w:multiLevelType w:val="hybridMultilevel"/>
    <w:tmpl w:val="BF20B306"/>
    <w:lvl w:ilvl="0" w:tplc="0964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70E68"/>
    <w:multiLevelType w:val="hybridMultilevel"/>
    <w:tmpl w:val="E63E6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27347">
    <w:abstractNumId w:val="0"/>
  </w:num>
  <w:num w:numId="2" w16cid:durableId="1757089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46442">
    <w:abstractNumId w:val="4"/>
  </w:num>
  <w:num w:numId="4" w16cid:durableId="620457503">
    <w:abstractNumId w:val="1"/>
  </w:num>
  <w:num w:numId="5" w16cid:durableId="1024750548">
    <w:abstractNumId w:val="2"/>
  </w:num>
  <w:num w:numId="6" w16cid:durableId="1888293476">
    <w:abstractNumId w:val="5"/>
  </w:num>
  <w:num w:numId="7" w16cid:durableId="1675455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2"/>
    <w:rsid w:val="00012A11"/>
    <w:rsid w:val="000323D5"/>
    <w:rsid w:val="000C44BC"/>
    <w:rsid w:val="000D0AA8"/>
    <w:rsid w:val="00116F12"/>
    <w:rsid w:val="00240B19"/>
    <w:rsid w:val="0028602D"/>
    <w:rsid w:val="00343065"/>
    <w:rsid w:val="00780F69"/>
    <w:rsid w:val="0085086E"/>
    <w:rsid w:val="00887F6E"/>
    <w:rsid w:val="008C6852"/>
    <w:rsid w:val="008D5DE4"/>
    <w:rsid w:val="008F5EBE"/>
    <w:rsid w:val="009475FF"/>
    <w:rsid w:val="00A97E4E"/>
    <w:rsid w:val="00AD371B"/>
    <w:rsid w:val="00B5524F"/>
    <w:rsid w:val="00B837F0"/>
    <w:rsid w:val="00BE4F58"/>
    <w:rsid w:val="00BF4C6F"/>
    <w:rsid w:val="00CD22FB"/>
    <w:rsid w:val="00D17D07"/>
    <w:rsid w:val="00D906EF"/>
    <w:rsid w:val="00F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9D9B"/>
  <w15:chartTrackingRefBased/>
  <w15:docId w15:val="{353EA508-919E-4403-8DC9-6078CB84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12"/>
    <w:pPr>
      <w:spacing w:after="200" w:line="276" w:lineRule="auto"/>
    </w:pPr>
    <w:rPr>
      <w:rFonts w:ascii="Calibri" w:eastAsia="Times New Roman" w:hAnsi="Calibri" w:cs="Times New Roman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F12"/>
    <w:pPr>
      <w:spacing w:after="0" w:line="240" w:lineRule="auto"/>
    </w:pPr>
    <w:rPr>
      <w:rFonts w:ascii="Calibri" w:eastAsia="Times New Roman" w:hAnsi="Calibri" w:cs="Times New Roman"/>
      <w:lang w:eastAsia="sq-AL"/>
    </w:rPr>
  </w:style>
  <w:style w:type="paragraph" w:styleId="ListParagraph">
    <w:name w:val="List Paragraph"/>
    <w:basedOn w:val="Normal"/>
    <w:uiPriority w:val="34"/>
    <w:qFormat/>
    <w:rsid w:val="00116F12"/>
    <w:pPr>
      <w:ind w:left="720"/>
      <w:contextualSpacing/>
    </w:pPr>
    <w:rPr>
      <w:rFonts w:eastAsia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116F1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16F1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F0"/>
    <w:rPr>
      <w:rFonts w:ascii="Segoe UI" w:eastAsia="Times New Roman" w:hAnsi="Segoe UI" w:cs="Segoe UI"/>
      <w:sz w:val="18"/>
      <w:szCs w:val="18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nanca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6CF1-CA18-4C99-83C6-054D431E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 Karagjozi</dc:creator>
  <cp:keywords/>
  <dc:description/>
  <cp:lastModifiedBy>Shkelqim Sallaku</cp:lastModifiedBy>
  <cp:revision>24</cp:revision>
  <cp:lastPrinted>2023-05-25T15:23:00Z</cp:lastPrinted>
  <dcterms:created xsi:type="dcterms:W3CDTF">2022-10-12T07:52:00Z</dcterms:created>
  <dcterms:modified xsi:type="dcterms:W3CDTF">2023-07-26T14:26:00Z</dcterms:modified>
</cp:coreProperties>
</file>