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37A" w:rsidRPr="0081405B" w:rsidRDefault="00A1237A" w:rsidP="00A1237A">
      <w:pPr>
        <w:spacing w:after="0" w:line="240" w:lineRule="auto"/>
        <w:jc w:val="center"/>
        <w:rPr>
          <w:rFonts w:ascii="Times New Roman" w:eastAsia="Times New Roman" w:hAnsi="Times New Roman" w:cs="Times New Roman"/>
          <w:b/>
          <w:bCs/>
          <w:sz w:val="24"/>
          <w:szCs w:val="24"/>
        </w:rPr>
      </w:pPr>
      <w:r w:rsidRPr="0081405B">
        <w:rPr>
          <w:rFonts w:ascii="Times New Roman" w:eastAsia="Times New Roman" w:hAnsi="Times New Roman" w:cs="Times New Roman"/>
          <w:b/>
          <w:bCs/>
          <w:sz w:val="24"/>
          <w:szCs w:val="24"/>
        </w:rPr>
        <w:t>REPUBLIKA E SHQIPËRISË</w:t>
      </w:r>
    </w:p>
    <w:p w:rsidR="00E77755" w:rsidRPr="00E77755" w:rsidRDefault="00A1237A" w:rsidP="0052203F">
      <w:pPr>
        <w:spacing w:after="0" w:line="240" w:lineRule="auto"/>
        <w:jc w:val="center"/>
        <w:rPr>
          <w:rFonts w:ascii="Times New Roman" w:eastAsia="Times New Roman" w:hAnsi="Times New Roman" w:cs="Times New Roman"/>
          <w:b/>
          <w:bCs/>
          <w:color w:val="000000" w:themeColor="text1"/>
          <w:sz w:val="24"/>
          <w:szCs w:val="24"/>
        </w:rPr>
      </w:pPr>
      <w:r w:rsidRPr="0081405B">
        <w:rPr>
          <w:rFonts w:ascii="Times New Roman" w:eastAsia="Calibri" w:hAnsi="Times New Roman" w:cs="Times New Roman"/>
          <w:b/>
          <w:bCs/>
          <w:sz w:val="24"/>
          <w:szCs w:val="24"/>
        </w:rPr>
        <w:t>KUVENDI</w:t>
      </w:r>
    </w:p>
    <w:p w:rsidR="00AE5B81" w:rsidRPr="00E77755" w:rsidRDefault="00AE5B81" w:rsidP="0052203F">
      <w:pPr>
        <w:spacing w:after="0" w:line="240" w:lineRule="auto"/>
        <w:jc w:val="center"/>
        <w:rPr>
          <w:rFonts w:ascii="Times New Roman" w:eastAsia="Times New Roman" w:hAnsi="Times New Roman" w:cs="Times New Roman"/>
          <w:b/>
          <w:bCs/>
          <w:color w:val="000000" w:themeColor="text1"/>
          <w:sz w:val="24"/>
          <w:szCs w:val="24"/>
        </w:rPr>
      </w:pPr>
    </w:p>
    <w:p w:rsidR="00AE5B81" w:rsidRPr="00E77755" w:rsidRDefault="00AE5B81" w:rsidP="0052203F">
      <w:pPr>
        <w:spacing w:after="0" w:line="240" w:lineRule="auto"/>
        <w:jc w:val="center"/>
        <w:rPr>
          <w:rFonts w:ascii="Times New Roman" w:eastAsia="Times New Roman" w:hAnsi="Times New Roman" w:cs="Times New Roman"/>
          <w:b/>
          <w:bCs/>
          <w:color w:val="000000" w:themeColor="text1"/>
          <w:sz w:val="24"/>
          <w:szCs w:val="24"/>
        </w:rPr>
      </w:pPr>
    </w:p>
    <w:p w:rsidR="00167D1D" w:rsidRPr="00E77755" w:rsidRDefault="00167D1D" w:rsidP="0052203F">
      <w:pPr>
        <w:spacing w:after="0" w:line="240" w:lineRule="auto"/>
        <w:rPr>
          <w:rFonts w:ascii="Times New Roman" w:hAnsi="Times New Roman" w:cs="Times New Roman"/>
          <w:b/>
          <w:color w:val="000000" w:themeColor="text1"/>
          <w:sz w:val="24"/>
          <w:szCs w:val="24"/>
        </w:rPr>
      </w:pPr>
    </w:p>
    <w:p w:rsidR="00420682" w:rsidRPr="00E77755" w:rsidRDefault="00420682" w:rsidP="0052203F">
      <w:pPr>
        <w:spacing w:after="0" w:line="240" w:lineRule="auto"/>
        <w:jc w:val="center"/>
        <w:rPr>
          <w:rFonts w:ascii="Times New Roman" w:hAnsi="Times New Roman" w:cs="Times New Roman"/>
          <w:b/>
          <w:color w:val="000000" w:themeColor="text1"/>
          <w:sz w:val="24"/>
          <w:szCs w:val="24"/>
        </w:rPr>
      </w:pPr>
      <w:r w:rsidRPr="00E77755">
        <w:rPr>
          <w:rFonts w:ascii="Times New Roman" w:hAnsi="Times New Roman" w:cs="Times New Roman"/>
          <w:b/>
          <w:color w:val="000000" w:themeColor="text1"/>
          <w:sz w:val="24"/>
          <w:szCs w:val="24"/>
        </w:rPr>
        <w:t>LIGJ</w:t>
      </w:r>
    </w:p>
    <w:p w:rsidR="00420682" w:rsidRPr="00E77755" w:rsidRDefault="00420682" w:rsidP="0052203F">
      <w:pPr>
        <w:spacing w:after="0" w:line="240" w:lineRule="auto"/>
        <w:jc w:val="center"/>
        <w:rPr>
          <w:rFonts w:ascii="Times New Roman" w:hAnsi="Times New Roman" w:cs="Times New Roman"/>
          <w:b/>
          <w:color w:val="000000" w:themeColor="text1"/>
          <w:sz w:val="24"/>
          <w:szCs w:val="24"/>
        </w:rPr>
      </w:pPr>
    </w:p>
    <w:p w:rsidR="00024790" w:rsidRPr="00E77755" w:rsidRDefault="002009A1" w:rsidP="00DD7DEF">
      <w:pPr>
        <w:spacing w:after="0" w:line="240" w:lineRule="auto"/>
        <w:jc w:val="center"/>
        <w:rPr>
          <w:rFonts w:ascii="Times New Roman" w:hAnsi="Times New Roman" w:cs="Times New Roman"/>
          <w:b/>
          <w:color w:val="000000" w:themeColor="text1"/>
          <w:sz w:val="24"/>
          <w:szCs w:val="24"/>
        </w:rPr>
      </w:pPr>
      <w:r w:rsidRPr="00E77755">
        <w:rPr>
          <w:rFonts w:ascii="Times New Roman" w:hAnsi="Times New Roman" w:cs="Times New Roman"/>
          <w:b/>
          <w:color w:val="000000" w:themeColor="text1"/>
          <w:sz w:val="24"/>
          <w:szCs w:val="24"/>
        </w:rPr>
        <w:t>Nr.</w:t>
      </w:r>
      <w:r w:rsidR="00F62A46" w:rsidRPr="00E77755">
        <w:rPr>
          <w:rFonts w:ascii="Times New Roman" w:hAnsi="Times New Roman" w:cs="Times New Roman"/>
          <w:b/>
          <w:color w:val="000000" w:themeColor="text1"/>
          <w:sz w:val="24"/>
          <w:szCs w:val="24"/>
        </w:rPr>
        <w:t xml:space="preserve"> </w:t>
      </w:r>
      <w:r w:rsidR="00FC24EB" w:rsidRPr="00E77755">
        <w:rPr>
          <w:rFonts w:ascii="Times New Roman" w:hAnsi="Times New Roman" w:cs="Times New Roman"/>
          <w:b/>
          <w:color w:val="000000" w:themeColor="text1"/>
          <w:sz w:val="24"/>
          <w:szCs w:val="24"/>
        </w:rPr>
        <w:t>97</w:t>
      </w:r>
      <w:r w:rsidR="007748A2" w:rsidRPr="00E77755">
        <w:rPr>
          <w:rFonts w:ascii="Times New Roman" w:hAnsi="Times New Roman" w:cs="Times New Roman"/>
          <w:b/>
          <w:color w:val="000000" w:themeColor="text1"/>
          <w:sz w:val="24"/>
          <w:szCs w:val="24"/>
        </w:rPr>
        <w:t>/2023</w:t>
      </w:r>
      <w:r w:rsidRPr="00E77755">
        <w:rPr>
          <w:rFonts w:ascii="Times New Roman" w:hAnsi="Times New Roman" w:cs="Times New Roman"/>
          <w:b/>
          <w:color w:val="000000" w:themeColor="text1"/>
          <w:sz w:val="24"/>
          <w:szCs w:val="24"/>
        </w:rPr>
        <w:t xml:space="preserve"> </w:t>
      </w:r>
    </w:p>
    <w:p w:rsidR="0060398D" w:rsidRPr="00E77755" w:rsidRDefault="0060398D" w:rsidP="0060398D">
      <w:pPr>
        <w:spacing w:after="0" w:line="240" w:lineRule="auto"/>
        <w:jc w:val="both"/>
        <w:rPr>
          <w:rFonts w:ascii="Times New Roman" w:hAnsi="Times New Roman" w:cs="Times New Roman"/>
          <w:b/>
          <w:color w:val="000000" w:themeColor="text1"/>
          <w:sz w:val="24"/>
          <w:szCs w:val="24"/>
        </w:rPr>
      </w:pPr>
    </w:p>
    <w:p w:rsidR="00E71EE6" w:rsidRPr="00E77755" w:rsidRDefault="00E71EE6" w:rsidP="00E71EE6">
      <w:pPr>
        <w:spacing w:after="0" w:line="240" w:lineRule="auto"/>
        <w:jc w:val="center"/>
        <w:rPr>
          <w:rFonts w:ascii="Times New Roman" w:hAnsi="Times New Roman" w:cs="Times New Roman"/>
          <w:b/>
          <w:color w:val="000000" w:themeColor="text1"/>
          <w:sz w:val="24"/>
          <w:szCs w:val="24"/>
        </w:rPr>
      </w:pPr>
      <w:r w:rsidRPr="00E77755">
        <w:rPr>
          <w:rFonts w:ascii="Times New Roman" w:hAnsi="Times New Roman" w:cs="Times New Roman"/>
          <w:b/>
          <w:color w:val="000000" w:themeColor="text1"/>
          <w:sz w:val="24"/>
          <w:szCs w:val="24"/>
        </w:rPr>
        <w:t>PËR BUXHETIN E VITIT 2024</w:t>
      </w:r>
    </w:p>
    <w:p w:rsidR="00E71EE6" w:rsidRPr="00E77755" w:rsidRDefault="00E71EE6" w:rsidP="00E71EE6">
      <w:pPr>
        <w:spacing w:after="0" w:line="240" w:lineRule="auto"/>
        <w:jc w:val="both"/>
        <w:rPr>
          <w:rFonts w:ascii="Times New Roman" w:hAnsi="Times New Roman" w:cs="Times New Roman"/>
          <w:b/>
          <w:color w:val="000000" w:themeColor="text1"/>
          <w:sz w:val="24"/>
          <w:szCs w:val="24"/>
        </w:rPr>
      </w:pP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xml:space="preserve">Në mbështetje të neneve 78, 83, pika 1, e 158 të Kushtetutës dhe nenit 30 të ligjit nr. 9936, datë 26.6.2008, “Për menaxhimin e sistemit buxhetor në Republikën e Shqipërisë”, të ndryshuar, me propozimin e Këshillit të Ministrave, </w:t>
      </w: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K U V E N D I</w:t>
      </w: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I REPUBLIKËS SË SHQIPËRISË</w:t>
      </w: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V E N D O S I:</w:t>
      </w: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KREU I</w:t>
      </w: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BUXHETI</w:t>
      </w: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l</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Buxheti për vitin 2024 është: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Të ardhurat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r>
      <w:r w:rsidR="00A00DE3" w:rsidRPr="00E77755">
        <w:rPr>
          <w:rFonts w:ascii="Times New Roman" w:hAnsi="Times New Roman" w:cs="Times New Roman"/>
          <w:color w:val="000000" w:themeColor="text1"/>
          <w:sz w:val="24"/>
          <w:szCs w:val="24"/>
        </w:rPr>
        <w:t>676 098</w:t>
      </w:r>
      <w:r w:rsidRPr="00E77755">
        <w:rPr>
          <w:rFonts w:ascii="Times New Roman" w:hAnsi="Times New Roman" w:cs="Times New Roman"/>
          <w:color w:val="000000" w:themeColor="text1"/>
          <w:sz w:val="24"/>
          <w:szCs w:val="24"/>
        </w:rPr>
        <w:t xml:space="preserve">        </w:t>
      </w:r>
      <w:r w:rsidRPr="00E77755">
        <w:rPr>
          <w:rFonts w:ascii="Times New Roman" w:hAnsi="Times New Roman" w:cs="Times New Roman"/>
          <w:color w:val="000000" w:themeColor="text1"/>
          <w:sz w:val="24"/>
          <w:szCs w:val="24"/>
        </w:rPr>
        <w:tab/>
        <w:t xml:space="preserve"> 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Shpenzimet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r>
      <w:r w:rsidR="00A00DE3" w:rsidRPr="00E77755">
        <w:rPr>
          <w:rFonts w:ascii="Times New Roman" w:hAnsi="Times New Roman" w:cs="Times New Roman"/>
          <w:color w:val="000000" w:themeColor="text1"/>
          <w:sz w:val="24"/>
          <w:szCs w:val="24"/>
        </w:rPr>
        <w:t>737 378</w:t>
      </w:r>
      <w:r w:rsidRPr="00E77755">
        <w:rPr>
          <w:rFonts w:ascii="Times New Roman" w:hAnsi="Times New Roman" w:cs="Times New Roman"/>
          <w:color w:val="000000" w:themeColor="text1"/>
          <w:sz w:val="24"/>
          <w:szCs w:val="24"/>
        </w:rPr>
        <w:t xml:space="preserve">           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Deficiti</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61 280  </w:t>
      </w:r>
      <w:r w:rsidRPr="00E77755">
        <w:rPr>
          <w:rFonts w:ascii="Times New Roman" w:hAnsi="Times New Roman" w:cs="Times New Roman"/>
          <w:color w:val="000000" w:themeColor="text1"/>
          <w:sz w:val="24"/>
          <w:szCs w:val="24"/>
        </w:rPr>
        <w:tab/>
        <w:t xml:space="preserve">       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FC24EB"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Buxheti</w:t>
      </w:r>
      <w:r w:rsidR="00E71EE6" w:rsidRPr="00E77755">
        <w:rPr>
          <w:rFonts w:ascii="Times New Roman" w:hAnsi="Times New Roman" w:cs="Times New Roman"/>
          <w:color w:val="000000" w:themeColor="text1"/>
          <w:sz w:val="24"/>
          <w:szCs w:val="24"/>
        </w:rPr>
        <w:t xml:space="preserve"> përbëhet nga buxheti i shtetit, buxheti vendor dhe fondet speciale: sigurimet shoqërore, sigurimet shëndetësore dhe kompensimi i ish-pronarëve.</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2</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Buxheti i shtetit për vitin 2024 është: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Të ardhurat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r>
      <w:r w:rsidR="00A00DE3" w:rsidRPr="00E77755">
        <w:rPr>
          <w:rFonts w:ascii="Times New Roman" w:hAnsi="Times New Roman" w:cs="Times New Roman"/>
          <w:bCs/>
          <w:color w:val="000000" w:themeColor="text1"/>
          <w:sz w:val="24"/>
          <w:szCs w:val="24"/>
        </w:rPr>
        <w:t>489 359</w:t>
      </w:r>
      <w:r w:rsidRPr="00E77755">
        <w:rPr>
          <w:rFonts w:ascii="Times New Roman" w:hAnsi="Times New Roman" w:cs="Times New Roman"/>
          <w:color w:val="000000" w:themeColor="text1"/>
          <w:sz w:val="24"/>
          <w:szCs w:val="24"/>
        </w:rPr>
        <w:tab/>
        <w:t xml:space="preserve">       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Shpenzimet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r>
      <w:r w:rsidR="00A00DE3" w:rsidRPr="00E77755">
        <w:rPr>
          <w:rFonts w:ascii="Times New Roman" w:hAnsi="Times New Roman" w:cs="Times New Roman"/>
          <w:color w:val="000000" w:themeColor="text1"/>
          <w:sz w:val="24"/>
          <w:szCs w:val="24"/>
        </w:rPr>
        <w:t xml:space="preserve">550 639 </w:t>
      </w:r>
      <w:r w:rsidRPr="00E77755">
        <w:rPr>
          <w:rFonts w:ascii="Times New Roman" w:hAnsi="Times New Roman" w:cs="Times New Roman"/>
          <w:color w:val="000000" w:themeColor="text1"/>
          <w:sz w:val="24"/>
          <w:szCs w:val="24"/>
        </w:rPr>
        <w:t xml:space="preserve"> </w:t>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t xml:space="preserve"> 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Deficiti</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61 280    </w:t>
      </w:r>
      <w:r w:rsidRPr="00E77755">
        <w:rPr>
          <w:rFonts w:ascii="Times New Roman" w:hAnsi="Times New Roman" w:cs="Times New Roman"/>
          <w:color w:val="000000" w:themeColor="text1"/>
          <w:sz w:val="24"/>
          <w:szCs w:val="24"/>
        </w:rPr>
        <w:tab/>
        <w:t xml:space="preserve"> 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3</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Buxheti vendor për vitin 2024 është: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Të ardhurat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r>
      <w:r w:rsidR="00A00DE3" w:rsidRPr="00E77755">
        <w:rPr>
          <w:rFonts w:ascii="Times New Roman" w:hAnsi="Times New Roman" w:cs="Times New Roman"/>
          <w:color w:val="000000" w:themeColor="text1"/>
          <w:sz w:val="24"/>
          <w:szCs w:val="24"/>
        </w:rPr>
        <w:t xml:space="preserve">71 249   </w:t>
      </w:r>
      <w:r w:rsidRPr="00E77755">
        <w:rPr>
          <w:rFonts w:ascii="Times New Roman" w:hAnsi="Times New Roman" w:cs="Times New Roman"/>
          <w:color w:val="000000" w:themeColor="text1"/>
          <w:sz w:val="24"/>
          <w:szCs w:val="24"/>
        </w:rPr>
        <w:tab/>
        <w:t xml:space="preserve">   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nga të cilat:</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transferta e pakushtëzuar e përgjithshme</w:t>
      </w:r>
      <w:r w:rsidRPr="00E77755">
        <w:rPr>
          <w:rFonts w:ascii="Times New Roman" w:hAnsi="Times New Roman" w:cs="Times New Roman"/>
          <w:color w:val="000000" w:themeColor="text1"/>
          <w:sz w:val="24"/>
          <w:szCs w:val="24"/>
        </w:rPr>
        <w:tab/>
        <w:t xml:space="preserve">     24 343</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transferta e pakushtëzuar sektoriale</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w:t>
      </w:r>
      <w:r w:rsidR="00A00DE3" w:rsidRPr="00E77755">
        <w:rPr>
          <w:rFonts w:ascii="Times New Roman" w:hAnsi="Times New Roman" w:cs="Times New Roman"/>
          <w:color w:val="000000" w:themeColor="text1"/>
          <w:sz w:val="24"/>
          <w:szCs w:val="24"/>
        </w:rPr>
        <w:t>10 814</w:t>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r>
      <w:r w:rsidR="00FC24EB"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lastRenderedPageBreak/>
        <w:t xml:space="preserve">- transferta sektoriale për pagat                         1 500         </w:t>
      </w:r>
      <w:r w:rsidRPr="00E77755">
        <w:rPr>
          <w:rFonts w:ascii="Times New Roman" w:hAnsi="Times New Roman" w:cs="Times New Roman"/>
          <w:color w:val="000000" w:themeColor="text1"/>
          <w:sz w:val="24"/>
          <w:szCs w:val="24"/>
        </w:rPr>
        <w:tab/>
        <w:t>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të ardhura të tjera</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t>34 592</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Shpenzimet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r>
      <w:r w:rsidR="00A00DE3" w:rsidRPr="00E77755">
        <w:rPr>
          <w:rFonts w:ascii="Times New Roman" w:hAnsi="Times New Roman" w:cs="Times New Roman"/>
          <w:color w:val="000000" w:themeColor="text1"/>
          <w:sz w:val="24"/>
          <w:szCs w:val="24"/>
        </w:rPr>
        <w:t>71 249</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t>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4</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Buxheti i sigurimeve shoqërore për vitin 2024 është:</w:t>
      </w: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l. Sigurimi i detyrueshëm, programet kompensuese dhe trajtimet e veçanta.</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Të ardhurat gjithsej</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169 838      milionë lekë,</w:t>
      </w: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nga të cilat:</w:t>
      </w:r>
      <w:r w:rsidRPr="00E77755">
        <w:rPr>
          <w:rFonts w:ascii="Times New Roman" w:hAnsi="Times New Roman" w:cs="Times New Roman"/>
          <w:color w:val="000000" w:themeColor="text1"/>
          <w:sz w:val="24"/>
          <w:szCs w:val="24"/>
        </w:rPr>
        <w:tab/>
      </w: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kontributet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133 059       milionë lekë; </w:t>
      </w: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transferimet nga buxheti i shtetit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r>
      <w:r w:rsidR="00FC24EB" w:rsidRPr="00E77755">
        <w:rPr>
          <w:rFonts w:ascii="Times New Roman" w:hAnsi="Times New Roman" w:cs="Times New Roman"/>
          <w:color w:val="000000" w:themeColor="text1"/>
          <w:sz w:val="24"/>
          <w:szCs w:val="24"/>
        </w:rPr>
        <w:t xml:space="preserve">  36 779</w:t>
      </w:r>
      <w:r w:rsidR="00FC24EB"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Shpenzimet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169 838       milionë lekë. </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Paga minimale, për efekt të pagesës së kontributit të sigurimeve shoqërore dhe shëndetësore, është e barabartë me pagën minimale në shkallë vendi dhe ndryshon sa herë që ndryshon kjo pagë. Këshilli i Ministrave përcakton masën e kontributit për personat e vetëpunësuar në bujqësi, si dhe për kategoritë e veçanta të personave të vetëpunësuar. Për vitin 2024 teprica ndërmjet të ardhurave dhe shpenzimeve, sipas degëve dhe programeve të sigurimit shoqëror të detyrueshëm e suplementar, përdoret për mbulimin e deficitit të degës së pensioneve.</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2. Sigurimi suplementar.</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Të ardhurat gjithsej</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8 200</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nga të cilat:</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kontributet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3 180</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transferimet nga buxheti i shtetit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5 020</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Shpenzimet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8 200</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3. Fondi për indeksimin e pensioneve është parashikuar 4 137 milionë lekë dhe bonusi i pensionistëve 3 650 milionë lekë. Ky fond ndahet midis skemave sipas përcaktimeve në vendimin e Këshillit të Ministrave.</w:t>
      </w: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Përdorimi i këtij fondi bëhet sipas përcaktimeve në nenin 61 të ligjit nr. 7703, datë 11.5.1993, “Për sigurimet shoqërore në Republikën e Shqipërisë”, tё ndryshuar. Shpenzimet administrative, si pjesë e shpenzimeve totale për skemën e sigurimeve shoqërore, janë jo më shumë se 3 700 milionë lekë dhe ndahen sipas skemave në proporcion me shpenzimet e drejtpërdrejta.</w:t>
      </w: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Rezultati pozitiv në fund të vitit buxhetor derdhet në të ardhurat e buxhetit të shtetit të vitit pasardhës, pas miratimit të pasqyrave financiare, por jo më vonë se muaji prill 2024.</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5</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1.</w:t>
      </w:r>
      <w:r w:rsidRPr="00E77755">
        <w:rPr>
          <w:rFonts w:ascii="Times New Roman" w:hAnsi="Times New Roman" w:cs="Times New Roman"/>
          <w:color w:val="000000" w:themeColor="text1"/>
          <w:sz w:val="24"/>
          <w:szCs w:val="24"/>
        </w:rPr>
        <w:tab/>
        <w:t>Buxheti i sigurimeve shëndetësore për vitin 2024 është:</w:t>
      </w: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Të ardhurat gjithsej</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t>58 052</w:t>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t xml:space="preserve">   milionë lekë,</w:t>
      </w: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nga të cilat:</w:t>
      </w:r>
      <w:r w:rsidRPr="00E77755">
        <w:rPr>
          <w:rFonts w:ascii="Times New Roman" w:hAnsi="Times New Roman" w:cs="Times New Roman"/>
          <w:color w:val="000000" w:themeColor="text1"/>
          <w:sz w:val="24"/>
          <w:szCs w:val="24"/>
        </w:rPr>
        <w:tab/>
      </w: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kontributet dhe të tjera</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20 481</w:t>
      </w:r>
      <w:r w:rsidRPr="00E77755">
        <w:rPr>
          <w:rFonts w:ascii="Times New Roman" w:hAnsi="Times New Roman" w:cs="Times New Roman"/>
          <w:color w:val="000000" w:themeColor="text1"/>
          <w:sz w:val="24"/>
          <w:szCs w:val="24"/>
        </w:rPr>
        <w:tab/>
        <w:t xml:space="preserve">    milionë lekë;</w:t>
      </w: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transferimet nga buxheti i shtetit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37 571</w:t>
      </w:r>
      <w:r w:rsidRPr="00E77755">
        <w:rPr>
          <w:rFonts w:ascii="Times New Roman" w:hAnsi="Times New Roman" w:cs="Times New Roman"/>
          <w:color w:val="000000" w:themeColor="text1"/>
          <w:sz w:val="24"/>
          <w:szCs w:val="24"/>
        </w:rPr>
        <w:tab/>
        <w:t xml:space="preserve">    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Shpenzimet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58 052</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2.</w:t>
      </w:r>
      <w:r w:rsidRPr="00E77755">
        <w:rPr>
          <w:rFonts w:ascii="Times New Roman" w:hAnsi="Times New Roman" w:cs="Times New Roman"/>
          <w:color w:val="000000" w:themeColor="text1"/>
          <w:sz w:val="24"/>
          <w:szCs w:val="24"/>
        </w:rPr>
        <w:tab/>
        <w:t>Fondi pёr rimbursimin e medikamenteve nuk e tejkalon tavanin prej 12 000 milionë lekësh. Fondi për shërbimin spitalor detajohet dhe përdoret me vendim të Këshillit të Ministrave.</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6</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xml:space="preserve">Buxheti i fondit për kompensimin në vlerë të ish-pronarëve për vitin 2024 është: </w:t>
      </w: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Të ardhurat gjithsej</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5 000   </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milionë lekë,</w:t>
      </w: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nga të cilat:</w:t>
      </w: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të ardhura të tjera</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t xml:space="preserve">   905    </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milionë lekë;</w:t>
      </w: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transferimet nga buxheti i shtetit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4 095     </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Shpenzimet</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5 000     </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7</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1.</w:t>
      </w:r>
      <w:r w:rsidRPr="00E77755">
        <w:rPr>
          <w:rFonts w:ascii="Times New Roman" w:hAnsi="Times New Roman" w:cs="Times New Roman"/>
          <w:color w:val="000000" w:themeColor="text1"/>
          <w:sz w:val="24"/>
          <w:szCs w:val="24"/>
        </w:rPr>
        <w:tab/>
        <w:t>Fondi i rindërtimit për përballimin e pasojave të tërmetit të vitit 2019 prej 7 000 milionë lekësh përdoret për të përballuar kostot për projektet e miratuara dhe të pafinancuara të viteve të mëparshme dhe pjesa e mbetur për projekte të reja.</w:t>
      </w:r>
    </w:p>
    <w:p w:rsidR="00E71EE6" w:rsidRPr="00E77755" w:rsidRDefault="00E71EE6" w:rsidP="001941F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Ky fond shton kufijtë e shpenzimeve për çdo ministri dhe institucion në nivel programi dhe kufijtë e transfertës së pakushtëzuar,</w:t>
      </w:r>
      <w:r w:rsidR="001941F2" w:rsidRPr="00E77755">
        <w:rPr>
          <w:rFonts w:ascii="Times New Roman" w:hAnsi="Times New Roman" w:cs="Times New Roman"/>
          <w:color w:val="000000" w:themeColor="text1"/>
          <w:sz w:val="24"/>
          <w:szCs w:val="24"/>
        </w:rPr>
        <w:t xml:space="preserve"> të miratuar në tabelat 1 dhe 3</w:t>
      </w:r>
      <w:r w:rsidRPr="00E77755">
        <w:rPr>
          <w:rFonts w:ascii="Times New Roman" w:hAnsi="Times New Roman" w:cs="Times New Roman"/>
          <w:color w:val="000000" w:themeColor="text1"/>
          <w:sz w:val="24"/>
          <w:szCs w:val="24"/>
        </w:rPr>
        <w:t xml:space="preserve"> të përmendura</w:t>
      </w:r>
      <w:r w:rsidR="001941F2" w:rsidRPr="00E77755">
        <w:rPr>
          <w:rFonts w:ascii="Times New Roman" w:hAnsi="Times New Roman" w:cs="Times New Roman"/>
          <w:color w:val="000000" w:themeColor="text1"/>
          <w:sz w:val="24"/>
          <w:szCs w:val="24"/>
        </w:rPr>
        <w:t xml:space="preserve"> në nenet 11 </w:t>
      </w:r>
      <w:r w:rsidR="00623CA9" w:rsidRPr="00E77755">
        <w:rPr>
          <w:rFonts w:ascii="Times New Roman" w:hAnsi="Times New Roman" w:cs="Times New Roman"/>
          <w:color w:val="000000" w:themeColor="text1"/>
          <w:sz w:val="24"/>
          <w:szCs w:val="24"/>
        </w:rPr>
        <w:t>dh</w:t>
      </w:r>
      <w:r w:rsidR="001941F2" w:rsidRPr="00E77755">
        <w:rPr>
          <w:rFonts w:ascii="Times New Roman" w:hAnsi="Times New Roman" w:cs="Times New Roman"/>
          <w:color w:val="000000" w:themeColor="text1"/>
          <w:sz w:val="24"/>
          <w:szCs w:val="24"/>
        </w:rPr>
        <w:t>e 15</w:t>
      </w:r>
      <w:r w:rsidRPr="00E77755">
        <w:rPr>
          <w:rFonts w:ascii="Times New Roman" w:hAnsi="Times New Roman" w:cs="Times New Roman"/>
          <w:color w:val="000000" w:themeColor="text1"/>
          <w:sz w:val="24"/>
          <w:szCs w:val="24"/>
        </w:rPr>
        <w:t xml:space="preserve"> të këtij ligji.</w:t>
      </w:r>
    </w:p>
    <w:p w:rsidR="00E71EE6" w:rsidRPr="00E77755" w:rsidRDefault="00E71EE6" w:rsidP="001941F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2.</w:t>
      </w:r>
      <w:r w:rsidRPr="00E77755">
        <w:rPr>
          <w:rFonts w:ascii="Times New Roman" w:hAnsi="Times New Roman" w:cs="Times New Roman"/>
          <w:color w:val="000000" w:themeColor="text1"/>
          <w:sz w:val="24"/>
          <w:szCs w:val="24"/>
        </w:rPr>
        <w:tab/>
        <w:t>Çdo e ardhur në formë granti, me destinacion përballimin e pasojave të tërmetit, rrit në të njëjtën masë të ardhurat dhe shpenzimet e fondit të rindërtimit, duke shtuar kufijtë e përcaktuar në nenet 1, 2, 3 e 11, si dhe kufijtë e</w:t>
      </w:r>
      <w:r w:rsidR="001941F2" w:rsidRPr="00E77755">
        <w:rPr>
          <w:rFonts w:ascii="Times New Roman" w:hAnsi="Times New Roman" w:cs="Times New Roman"/>
          <w:color w:val="000000" w:themeColor="text1"/>
          <w:sz w:val="24"/>
          <w:szCs w:val="24"/>
        </w:rPr>
        <w:t xml:space="preserve"> miratuar në tabelat 1, 3 dhe 4</w:t>
      </w:r>
      <w:r w:rsidRPr="00E77755">
        <w:rPr>
          <w:rFonts w:ascii="Times New Roman" w:hAnsi="Times New Roman" w:cs="Times New Roman"/>
          <w:color w:val="000000" w:themeColor="text1"/>
          <w:sz w:val="24"/>
          <w:szCs w:val="24"/>
        </w:rPr>
        <w:t xml:space="preserve"> të përmendura</w:t>
      </w:r>
      <w:r w:rsidR="001941F2" w:rsidRPr="00E77755">
        <w:rPr>
          <w:rFonts w:ascii="Times New Roman" w:hAnsi="Times New Roman" w:cs="Times New Roman"/>
          <w:color w:val="000000" w:themeColor="text1"/>
          <w:sz w:val="24"/>
          <w:szCs w:val="24"/>
        </w:rPr>
        <w:t xml:space="preserve"> në nenet 11 e 15</w:t>
      </w:r>
      <w:r w:rsidRPr="00E77755">
        <w:rPr>
          <w:rFonts w:ascii="Times New Roman" w:hAnsi="Times New Roman" w:cs="Times New Roman"/>
          <w:color w:val="000000" w:themeColor="text1"/>
          <w:sz w:val="24"/>
          <w:szCs w:val="24"/>
        </w:rPr>
        <w:t xml:space="preserve"> të këtij ligji. Fondet që rishpërndahen me vendim të Këshillit të Ministrav</w:t>
      </w:r>
      <w:r w:rsidR="000B28B7" w:rsidRPr="00E77755">
        <w:rPr>
          <w:rFonts w:ascii="Times New Roman" w:hAnsi="Times New Roman" w:cs="Times New Roman"/>
          <w:color w:val="000000" w:themeColor="text1"/>
          <w:sz w:val="24"/>
          <w:szCs w:val="24"/>
        </w:rPr>
        <w:t>e nga programet sipas tabelës 1</w:t>
      </w:r>
      <w:r w:rsidRPr="00E77755">
        <w:rPr>
          <w:rFonts w:ascii="Times New Roman" w:hAnsi="Times New Roman" w:cs="Times New Roman"/>
          <w:color w:val="000000" w:themeColor="text1"/>
          <w:sz w:val="24"/>
          <w:szCs w:val="24"/>
        </w:rPr>
        <w:t xml:space="preserve"> </w:t>
      </w:r>
      <w:r w:rsidR="000B28B7" w:rsidRPr="00E77755">
        <w:rPr>
          <w:rFonts w:ascii="Times New Roman" w:hAnsi="Times New Roman" w:cs="Times New Roman"/>
          <w:color w:val="000000" w:themeColor="text1"/>
          <w:sz w:val="24"/>
          <w:szCs w:val="24"/>
        </w:rPr>
        <w:t>të këtij</w:t>
      </w:r>
      <w:r w:rsidRPr="00E77755">
        <w:rPr>
          <w:rFonts w:ascii="Times New Roman" w:hAnsi="Times New Roman" w:cs="Times New Roman"/>
          <w:color w:val="000000" w:themeColor="text1"/>
          <w:sz w:val="24"/>
          <w:szCs w:val="24"/>
        </w:rPr>
        <w:t xml:space="preserve"> ligj</w:t>
      </w:r>
      <w:r w:rsidR="000B28B7" w:rsidRPr="00E77755">
        <w:rPr>
          <w:rFonts w:ascii="Times New Roman" w:hAnsi="Times New Roman" w:cs="Times New Roman"/>
          <w:color w:val="000000" w:themeColor="text1"/>
          <w:sz w:val="24"/>
          <w:szCs w:val="24"/>
        </w:rPr>
        <w:t>i</w:t>
      </w:r>
      <w:r w:rsidRPr="00E77755">
        <w:rPr>
          <w:rFonts w:ascii="Times New Roman" w:hAnsi="Times New Roman" w:cs="Times New Roman"/>
          <w:color w:val="000000" w:themeColor="text1"/>
          <w:sz w:val="24"/>
          <w:szCs w:val="24"/>
        </w:rPr>
        <w:t xml:space="preserve">, si ato korrente dhe ato kapitale, në fondin e rindërtimit, nuk </w:t>
      </w:r>
      <w:r w:rsidR="001941F2" w:rsidRPr="00E77755">
        <w:rPr>
          <w:rFonts w:ascii="Times New Roman" w:hAnsi="Times New Roman" w:cs="Times New Roman"/>
          <w:color w:val="000000" w:themeColor="text1"/>
          <w:sz w:val="24"/>
          <w:szCs w:val="24"/>
        </w:rPr>
        <w:t>u</w:t>
      </w:r>
      <w:r w:rsidRPr="00E77755">
        <w:rPr>
          <w:rFonts w:ascii="Times New Roman" w:hAnsi="Times New Roman" w:cs="Times New Roman"/>
          <w:color w:val="000000" w:themeColor="text1"/>
          <w:sz w:val="24"/>
          <w:szCs w:val="24"/>
        </w:rPr>
        <w:t xml:space="preserve"> nënshtrohen ku</w:t>
      </w:r>
      <w:r w:rsidR="001941F2" w:rsidRPr="00E77755">
        <w:rPr>
          <w:rFonts w:ascii="Times New Roman" w:hAnsi="Times New Roman" w:cs="Times New Roman"/>
          <w:color w:val="000000" w:themeColor="text1"/>
          <w:sz w:val="24"/>
          <w:szCs w:val="24"/>
        </w:rPr>
        <w:t>fijve të përcaktuar në nenin 17</w:t>
      </w:r>
      <w:r w:rsidRPr="00E77755">
        <w:rPr>
          <w:rFonts w:ascii="Times New Roman" w:hAnsi="Times New Roman" w:cs="Times New Roman"/>
          <w:color w:val="000000" w:themeColor="text1"/>
          <w:sz w:val="24"/>
          <w:szCs w:val="24"/>
        </w:rPr>
        <w:t xml:space="preserve"> të këtij ligji.</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1941F2">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8</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1941F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Përdorimi dhe investimi i fondit rezervë të sigurimeve shoqërore dhe shëndetësore bëhet sipas dispozitave ligjore në fuqi.</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1941F2">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KREU II</w:t>
      </w:r>
    </w:p>
    <w:p w:rsidR="001941F2" w:rsidRPr="00E77755" w:rsidRDefault="001941F2" w:rsidP="001941F2">
      <w:pPr>
        <w:spacing w:after="0" w:line="240" w:lineRule="auto"/>
        <w:jc w:val="center"/>
        <w:rPr>
          <w:rFonts w:ascii="Times New Roman" w:hAnsi="Times New Roman" w:cs="Times New Roman"/>
          <w:color w:val="000000" w:themeColor="text1"/>
          <w:sz w:val="24"/>
          <w:szCs w:val="24"/>
        </w:rPr>
      </w:pPr>
    </w:p>
    <w:p w:rsidR="00E71EE6" w:rsidRPr="00E77755" w:rsidRDefault="00E71EE6" w:rsidP="001941F2">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BURIMET PËR MBËSHTETJEN E SHPENZIMEVE TË BUXHETIT TË SHTETIT</w:t>
      </w:r>
    </w:p>
    <w:p w:rsidR="00E71EE6" w:rsidRPr="00E77755" w:rsidRDefault="00E71EE6" w:rsidP="001941F2">
      <w:pPr>
        <w:spacing w:after="0" w:line="240" w:lineRule="auto"/>
        <w:jc w:val="center"/>
        <w:rPr>
          <w:rFonts w:ascii="Times New Roman" w:hAnsi="Times New Roman" w:cs="Times New Roman"/>
          <w:color w:val="000000" w:themeColor="text1"/>
          <w:sz w:val="24"/>
          <w:szCs w:val="24"/>
        </w:rPr>
      </w:pPr>
    </w:p>
    <w:p w:rsidR="00E71EE6" w:rsidRPr="00E77755" w:rsidRDefault="00E71EE6" w:rsidP="001941F2">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9</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1941F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Të ardhurat e buxhetit të shtetit sipas grupeve kryesore janë:</w:t>
      </w:r>
    </w:p>
    <w:p w:rsidR="00E71EE6" w:rsidRPr="00E77755" w:rsidRDefault="00E71EE6" w:rsidP="001941F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Gra</w:t>
      </w:r>
      <w:r w:rsidR="001941F2" w:rsidRPr="00E77755">
        <w:rPr>
          <w:rFonts w:ascii="Times New Roman" w:hAnsi="Times New Roman" w:cs="Times New Roman"/>
          <w:color w:val="000000" w:themeColor="text1"/>
          <w:sz w:val="24"/>
          <w:szCs w:val="24"/>
        </w:rPr>
        <w:t>ntet</w:t>
      </w:r>
      <w:r w:rsidR="001941F2" w:rsidRPr="00E77755">
        <w:rPr>
          <w:rFonts w:ascii="Times New Roman" w:hAnsi="Times New Roman" w:cs="Times New Roman"/>
          <w:color w:val="000000" w:themeColor="text1"/>
          <w:sz w:val="24"/>
          <w:szCs w:val="24"/>
        </w:rPr>
        <w:tab/>
      </w:r>
      <w:r w:rsidR="001941F2" w:rsidRPr="00E77755">
        <w:rPr>
          <w:rFonts w:ascii="Times New Roman" w:hAnsi="Times New Roman" w:cs="Times New Roman"/>
          <w:color w:val="000000" w:themeColor="text1"/>
          <w:sz w:val="24"/>
          <w:szCs w:val="24"/>
        </w:rPr>
        <w:tab/>
      </w:r>
      <w:r w:rsidR="001941F2" w:rsidRPr="00E77755">
        <w:rPr>
          <w:rFonts w:ascii="Times New Roman" w:hAnsi="Times New Roman" w:cs="Times New Roman"/>
          <w:color w:val="000000" w:themeColor="text1"/>
          <w:sz w:val="24"/>
          <w:szCs w:val="24"/>
        </w:rPr>
        <w:tab/>
      </w:r>
      <w:r w:rsidR="001941F2" w:rsidRPr="00E77755">
        <w:rPr>
          <w:rFonts w:ascii="Times New Roman" w:hAnsi="Times New Roman" w:cs="Times New Roman"/>
          <w:color w:val="000000" w:themeColor="text1"/>
          <w:sz w:val="24"/>
          <w:szCs w:val="24"/>
        </w:rPr>
        <w:tab/>
      </w:r>
      <w:r w:rsidR="001941F2" w:rsidRPr="00E77755">
        <w:rPr>
          <w:rFonts w:ascii="Times New Roman" w:hAnsi="Times New Roman" w:cs="Times New Roman"/>
          <w:color w:val="000000" w:themeColor="text1"/>
          <w:sz w:val="24"/>
          <w:szCs w:val="24"/>
        </w:rPr>
        <w:tab/>
      </w:r>
      <w:r w:rsidR="001941F2" w:rsidRPr="00E77755">
        <w:rPr>
          <w:rFonts w:ascii="Times New Roman" w:hAnsi="Times New Roman" w:cs="Times New Roman"/>
          <w:color w:val="000000" w:themeColor="text1"/>
          <w:sz w:val="24"/>
          <w:szCs w:val="24"/>
        </w:rPr>
        <w:tab/>
      </w:r>
      <w:r w:rsidR="001941F2" w:rsidRPr="00E77755">
        <w:rPr>
          <w:rFonts w:ascii="Times New Roman" w:hAnsi="Times New Roman" w:cs="Times New Roman"/>
          <w:color w:val="000000" w:themeColor="text1"/>
          <w:sz w:val="24"/>
          <w:szCs w:val="24"/>
        </w:rPr>
        <w:tab/>
        <w:t xml:space="preserve">             </w:t>
      </w:r>
      <w:r w:rsidR="001941F2"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16 957         milionë lekë;</w:t>
      </w:r>
    </w:p>
    <w:p w:rsidR="00E71EE6" w:rsidRPr="00E77755" w:rsidRDefault="00E71EE6" w:rsidP="001941F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Të ardhurat t</w:t>
      </w:r>
      <w:r w:rsidR="001941F2" w:rsidRPr="00E77755">
        <w:rPr>
          <w:rFonts w:ascii="Times New Roman" w:hAnsi="Times New Roman" w:cs="Times New Roman"/>
          <w:color w:val="000000" w:themeColor="text1"/>
          <w:sz w:val="24"/>
          <w:szCs w:val="24"/>
        </w:rPr>
        <w:t>atimore</w:t>
      </w:r>
      <w:r w:rsidR="001941F2" w:rsidRPr="00E77755">
        <w:rPr>
          <w:rFonts w:ascii="Times New Roman" w:hAnsi="Times New Roman" w:cs="Times New Roman"/>
          <w:color w:val="000000" w:themeColor="text1"/>
          <w:sz w:val="24"/>
          <w:szCs w:val="24"/>
        </w:rPr>
        <w:tab/>
      </w:r>
      <w:r w:rsidR="001941F2" w:rsidRPr="00E77755">
        <w:rPr>
          <w:rFonts w:ascii="Times New Roman" w:hAnsi="Times New Roman" w:cs="Times New Roman"/>
          <w:color w:val="000000" w:themeColor="text1"/>
          <w:sz w:val="24"/>
          <w:szCs w:val="24"/>
        </w:rPr>
        <w:tab/>
      </w:r>
      <w:r w:rsidR="001941F2" w:rsidRPr="00E77755">
        <w:rPr>
          <w:rFonts w:ascii="Times New Roman" w:hAnsi="Times New Roman" w:cs="Times New Roman"/>
          <w:color w:val="000000" w:themeColor="text1"/>
          <w:sz w:val="24"/>
          <w:szCs w:val="24"/>
        </w:rPr>
        <w:tab/>
      </w:r>
      <w:r w:rsidR="001941F2" w:rsidRPr="00E77755">
        <w:rPr>
          <w:rFonts w:ascii="Times New Roman" w:hAnsi="Times New Roman" w:cs="Times New Roman"/>
          <w:color w:val="000000" w:themeColor="text1"/>
          <w:sz w:val="24"/>
          <w:szCs w:val="24"/>
        </w:rPr>
        <w:tab/>
        <w:t xml:space="preserve">       </w:t>
      </w:r>
      <w:r w:rsidR="001941F2" w:rsidRPr="00E77755">
        <w:rPr>
          <w:rFonts w:ascii="Times New Roman" w:hAnsi="Times New Roman" w:cs="Times New Roman"/>
          <w:color w:val="000000" w:themeColor="text1"/>
          <w:sz w:val="24"/>
          <w:szCs w:val="24"/>
        </w:rPr>
        <w:tab/>
      </w:r>
      <w:r w:rsidR="001941F2" w:rsidRPr="00E77755">
        <w:rPr>
          <w:rFonts w:ascii="Times New Roman" w:hAnsi="Times New Roman" w:cs="Times New Roman"/>
          <w:color w:val="000000" w:themeColor="text1"/>
          <w:sz w:val="24"/>
          <w:szCs w:val="24"/>
        </w:rPr>
        <w:tab/>
        <w:t>447 002</w:t>
      </w:r>
      <w:r w:rsidR="001941F2" w:rsidRPr="00E77755">
        <w:rPr>
          <w:rFonts w:ascii="Times New Roman" w:hAnsi="Times New Roman" w:cs="Times New Roman"/>
          <w:color w:val="000000" w:themeColor="text1"/>
          <w:sz w:val="24"/>
          <w:szCs w:val="24"/>
        </w:rPr>
        <w:tab/>
      </w:r>
      <w:r w:rsidR="001941F2"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milionë lekë;</w:t>
      </w:r>
    </w:p>
    <w:p w:rsidR="00E71EE6" w:rsidRPr="00E77755" w:rsidRDefault="00E71EE6" w:rsidP="001941F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Të ardhurat</w:t>
      </w:r>
      <w:r w:rsidR="001941F2" w:rsidRPr="00E77755">
        <w:rPr>
          <w:rFonts w:ascii="Times New Roman" w:hAnsi="Times New Roman" w:cs="Times New Roman"/>
          <w:color w:val="000000" w:themeColor="text1"/>
          <w:sz w:val="24"/>
          <w:szCs w:val="24"/>
        </w:rPr>
        <w:t xml:space="preserve"> jotatimore</w:t>
      </w:r>
      <w:r w:rsidR="001941F2" w:rsidRPr="00E77755">
        <w:rPr>
          <w:rFonts w:ascii="Times New Roman" w:hAnsi="Times New Roman" w:cs="Times New Roman"/>
          <w:color w:val="000000" w:themeColor="text1"/>
          <w:sz w:val="24"/>
          <w:szCs w:val="24"/>
        </w:rPr>
        <w:tab/>
      </w:r>
      <w:r w:rsidR="001941F2" w:rsidRPr="00E77755">
        <w:rPr>
          <w:rFonts w:ascii="Times New Roman" w:hAnsi="Times New Roman" w:cs="Times New Roman"/>
          <w:color w:val="000000" w:themeColor="text1"/>
          <w:sz w:val="24"/>
          <w:szCs w:val="24"/>
        </w:rPr>
        <w:tab/>
      </w:r>
      <w:r w:rsidR="001941F2" w:rsidRPr="00E77755">
        <w:rPr>
          <w:rFonts w:ascii="Times New Roman" w:hAnsi="Times New Roman" w:cs="Times New Roman"/>
          <w:color w:val="000000" w:themeColor="text1"/>
          <w:sz w:val="24"/>
          <w:szCs w:val="24"/>
        </w:rPr>
        <w:tab/>
      </w:r>
      <w:r w:rsidR="001941F2" w:rsidRPr="00E77755">
        <w:rPr>
          <w:rFonts w:ascii="Times New Roman" w:hAnsi="Times New Roman" w:cs="Times New Roman"/>
          <w:color w:val="000000" w:themeColor="text1"/>
          <w:sz w:val="24"/>
          <w:szCs w:val="24"/>
        </w:rPr>
        <w:tab/>
      </w:r>
      <w:r w:rsidR="001941F2" w:rsidRPr="00E77755">
        <w:rPr>
          <w:rFonts w:ascii="Times New Roman" w:hAnsi="Times New Roman" w:cs="Times New Roman"/>
          <w:color w:val="000000" w:themeColor="text1"/>
          <w:sz w:val="24"/>
          <w:szCs w:val="24"/>
        </w:rPr>
        <w:tab/>
        <w:t xml:space="preserve">  </w:t>
      </w:r>
      <w:r w:rsidR="001941F2" w:rsidRPr="00E77755">
        <w:rPr>
          <w:rFonts w:ascii="Times New Roman" w:hAnsi="Times New Roman" w:cs="Times New Roman"/>
          <w:color w:val="000000" w:themeColor="text1"/>
          <w:sz w:val="24"/>
          <w:szCs w:val="24"/>
        </w:rPr>
        <w:tab/>
        <w:t xml:space="preserve">  </w:t>
      </w:r>
      <w:r w:rsidR="00A00DE3" w:rsidRPr="00E77755">
        <w:rPr>
          <w:rFonts w:ascii="Times New Roman" w:hAnsi="Times New Roman" w:cs="Times New Roman"/>
          <w:color w:val="000000" w:themeColor="text1"/>
          <w:sz w:val="24"/>
          <w:szCs w:val="24"/>
        </w:rPr>
        <w:t>25 401</w:t>
      </w:r>
      <w:r w:rsidR="00AB14B8" w:rsidRPr="00E77755">
        <w:rPr>
          <w:rFonts w:ascii="Times New Roman" w:hAnsi="Times New Roman" w:cs="Times New Roman"/>
          <w:color w:val="000000" w:themeColor="text1"/>
          <w:sz w:val="24"/>
          <w:szCs w:val="24"/>
        </w:rPr>
        <w:tab/>
      </w:r>
      <w:r w:rsidR="00AB14B8"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milionë lekë.</w:t>
      </w:r>
    </w:p>
    <w:p w:rsidR="001941F2" w:rsidRPr="00E77755" w:rsidRDefault="001941F2"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1941F2">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10</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1941F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1.</w:t>
      </w:r>
      <w:r w:rsidRPr="00E77755">
        <w:rPr>
          <w:rFonts w:ascii="Times New Roman" w:hAnsi="Times New Roman" w:cs="Times New Roman"/>
          <w:color w:val="000000" w:themeColor="text1"/>
          <w:sz w:val="24"/>
          <w:szCs w:val="24"/>
        </w:rPr>
        <w:tab/>
        <w:t>Deficiti faktik i buxhetit të shtetit, i cili nuk duhet të rezultojë më tepër se deficiti i përcaktuar në nenin 1 të këtij ligji, mund të financohet nëpërmjet huamarrjes neto nga burime të brendshme deri në kufirin maksi</w:t>
      </w:r>
      <w:r w:rsidR="001941F2" w:rsidRPr="00E77755">
        <w:rPr>
          <w:rFonts w:ascii="Times New Roman" w:hAnsi="Times New Roman" w:cs="Times New Roman"/>
          <w:color w:val="000000" w:themeColor="text1"/>
          <w:sz w:val="24"/>
          <w:szCs w:val="24"/>
        </w:rPr>
        <w:t xml:space="preserve">mal prej </w:t>
      </w:r>
      <w:r w:rsidRPr="00E77755">
        <w:rPr>
          <w:rFonts w:ascii="Times New Roman" w:hAnsi="Times New Roman" w:cs="Times New Roman"/>
          <w:color w:val="000000" w:themeColor="text1"/>
          <w:sz w:val="24"/>
          <w:szCs w:val="24"/>
        </w:rPr>
        <w:t>50 000 milionë lekësh.</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lastRenderedPageBreak/>
        <w:t>Pjesa tjetër e financimit të deficitit faktik të buxhetit të shtetit financohet nëpërmjet huamarrjes neto nga burime të huaja, si dhe ndryshimit pakësues ose shtues të gjendjes së llogarisë unike të Këshillit të Ministrave në Bankën e Shqipërisë dhe llogarive të fondeve speciale në bankat e nivelit të dytë.</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2.</w:t>
      </w:r>
      <w:r w:rsidRPr="00E77755">
        <w:rPr>
          <w:rFonts w:ascii="Times New Roman" w:hAnsi="Times New Roman" w:cs="Times New Roman"/>
          <w:color w:val="000000" w:themeColor="text1"/>
          <w:sz w:val="24"/>
          <w:szCs w:val="24"/>
        </w:rPr>
        <w:tab/>
        <w:t>Vlera indikative e financimit nëpërmjet huamarrjes neto nga burime të huaja është rreth (minus) 15 545 milionë lekë, ku përfshihen huamarrjet dhe ripagesat me vlera të përafërta indikative, si më poshtë:</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xml:space="preserve">- </w:t>
      </w:r>
      <w:r w:rsidRPr="00E77755">
        <w:rPr>
          <w:rFonts w:ascii="Times New Roman" w:hAnsi="Times New Roman" w:cs="Times New Roman"/>
          <w:color w:val="000000" w:themeColor="text1"/>
          <w:sz w:val="24"/>
          <w:szCs w:val="24"/>
        </w:rPr>
        <w:tab/>
        <w:t>Huamarrje afa</w:t>
      </w:r>
      <w:r w:rsidR="00AB14B8" w:rsidRPr="00E77755">
        <w:rPr>
          <w:rFonts w:ascii="Times New Roman" w:hAnsi="Times New Roman" w:cs="Times New Roman"/>
          <w:color w:val="000000" w:themeColor="text1"/>
          <w:sz w:val="24"/>
          <w:szCs w:val="24"/>
        </w:rPr>
        <w:t>tgjatë e destinuar për projekte</w:t>
      </w:r>
      <w:r w:rsidRPr="00E77755">
        <w:rPr>
          <w:rFonts w:ascii="Times New Roman" w:hAnsi="Times New Roman" w:cs="Times New Roman"/>
          <w:color w:val="000000" w:themeColor="text1"/>
          <w:sz w:val="24"/>
          <w:szCs w:val="24"/>
        </w:rPr>
        <w:t xml:space="preserve"> me vlerë rreth 30 030 milionë lekë;</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w:t>
      </w:r>
      <w:r w:rsidRPr="00E77755">
        <w:rPr>
          <w:rFonts w:ascii="Times New Roman" w:hAnsi="Times New Roman" w:cs="Times New Roman"/>
          <w:color w:val="000000" w:themeColor="text1"/>
          <w:sz w:val="24"/>
          <w:szCs w:val="24"/>
        </w:rPr>
        <w:tab/>
        <w:t>Huamarrje në formën e “mbështetjes buxhetore” nga institu</w:t>
      </w:r>
      <w:r w:rsidR="00AB14B8" w:rsidRPr="00E77755">
        <w:rPr>
          <w:rFonts w:ascii="Times New Roman" w:hAnsi="Times New Roman" w:cs="Times New Roman"/>
          <w:color w:val="000000" w:themeColor="text1"/>
          <w:sz w:val="24"/>
          <w:szCs w:val="24"/>
        </w:rPr>
        <w:t xml:space="preserve">cione financiare ndërkombëtare </w:t>
      </w:r>
      <w:r w:rsidRPr="00E77755">
        <w:rPr>
          <w:rFonts w:ascii="Times New Roman" w:hAnsi="Times New Roman" w:cs="Times New Roman"/>
          <w:color w:val="000000" w:themeColor="text1"/>
          <w:sz w:val="24"/>
          <w:szCs w:val="24"/>
        </w:rPr>
        <w:t>me vlerë rreth 6 571 milionë lekë;</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xml:space="preserve">-  </w:t>
      </w:r>
      <w:r w:rsidR="007B46AF" w:rsidRPr="00E77755">
        <w:rPr>
          <w:rFonts w:ascii="Times New Roman" w:hAnsi="Times New Roman" w:cs="Times New Roman"/>
          <w:color w:val="000000" w:themeColor="text1"/>
          <w:sz w:val="24"/>
          <w:szCs w:val="24"/>
        </w:rPr>
        <w:t xml:space="preserve">Ripagesa të principalit </w:t>
      </w:r>
      <w:r w:rsidRPr="00E77755">
        <w:rPr>
          <w:rFonts w:ascii="Times New Roman" w:hAnsi="Times New Roman" w:cs="Times New Roman"/>
          <w:color w:val="000000" w:themeColor="text1"/>
          <w:sz w:val="24"/>
          <w:szCs w:val="24"/>
        </w:rPr>
        <w:t>me vlerë rreth 52 146 milionë lekë;</w:t>
      </w:r>
    </w:p>
    <w:p w:rsidR="00E71EE6" w:rsidRPr="00E77755" w:rsidRDefault="007B46AF"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Nënhua për pushtetin vendor</w:t>
      </w:r>
      <w:r w:rsidR="00E71EE6" w:rsidRPr="00E77755">
        <w:rPr>
          <w:rFonts w:ascii="Times New Roman" w:hAnsi="Times New Roman" w:cs="Times New Roman"/>
          <w:color w:val="000000" w:themeColor="text1"/>
          <w:sz w:val="24"/>
          <w:szCs w:val="24"/>
        </w:rPr>
        <w:t xml:space="preserve"> me vlerë rreth 1 000 milionë lekë.</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3.</w:t>
      </w:r>
      <w:r w:rsidRPr="00E77755">
        <w:rPr>
          <w:rFonts w:ascii="Times New Roman" w:hAnsi="Times New Roman" w:cs="Times New Roman"/>
          <w:color w:val="000000" w:themeColor="text1"/>
          <w:sz w:val="24"/>
          <w:szCs w:val="24"/>
        </w:rPr>
        <w:tab/>
        <w:t>Vlera indikative e financimit nëpërmjet përdorimit të gjendjes së akumuluar në llogarinë unike të Këshillit të Ministrave në Bankën e Shqipërisë është rreth 16 825 milionë lekë.</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4.</w:t>
      </w:r>
      <w:r w:rsidRPr="00E77755">
        <w:rPr>
          <w:rFonts w:ascii="Times New Roman" w:hAnsi="Times New Roman" w:cs="Times New Roman"/>
          <w:color w:val="000000" w:themeColor="text1"/>
          <w:sz w:val="24"/>
          <w:szCs w:val="24"/>
        </w:rPr>
        <w:tab/>
        <w:t>Vlera indikative e financimit nëpërmjet përdorimit të gjendjes së akumuluar në llogaritë e fondeve speciale në bankat e nivelit të dytë është rreth 10 000 milionë lekë.</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5.</w:t>
      </w:r>
      <w:r w:rsidRPr="00E77755">
        <w:rPr>
          <w:rFonts w:ascii="Times New Roman" w:hAnsi="Times New Roman" w:cs="Times New Roman"/>
          <w:color w:val="000000" w:themeColor="text1"/>
          <w:sz w:val="24"/>
          <w:szCs w:val="24"/>
        </w:rPr>
        <w:tab/>
        <w:t>Çdo diferencë, që mund të rezultojë midis financimit total neto nga burimet e ndryshme të përmendura në këtë nen dhe deficitit faktik të buxhetit të shtetit, në rast teprice, akumulohet në llogarinë unike të Këshillit të Ministrave në Bankën e Shqipërisë ose, në rast mungese, përdoret nga gjendja e kësaj llogarie.</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6.</w:t>
      </w:r>
      <w:r w:rsidRPr="00E77755">
        <w:rPr>
          <w:rFonts w:ascii="Times New Roman" w:hAnsi="Times New Roman" w:cs="Times New Roman"/>
          <w:color w:val="000000" w:themeColor="text1"/>
          <w:sz w:val="24"/>
          <w:szCs w:val="24"/>
        </w:rPr>
        <w:tab/>
        <w:t>Të ardhurat nga privatizimi, që mund të krijohen gjatë vitit 2024, përdoren jo më pak se 50 për qind për uljen e kufirit të huamarrjes neto nga burime të brendshme dhe pjesa tjetër përdoret me vendim të Këshillit të Ministrave për rritjen e kufirit të shpenzimeve kapitale, e cila automatikisht rrit me të njëjtën masë kufirin e deficitit të buxhetit të shtetit,</w:t>
      </w:r>
      <w:r w:rsidR="00BA7752" w:rsidRPr="00E77755">
        <w:rPr>
          <w:rFonts w:ascii="Times New Roman" w:hAnsi="Times New Roman" w:cs="Times New Roman"/>
          <w:color w:val="000000" w:themeColor="text1"/>
          <w:sz w:val="24"/>
          <w:szCs w:val="24"/>
        </w:rPr>
        <w:t xml:space="preserve"> të përcaktuar në nenet 1 dhe 2</w:t>
      </w:r>
      <w:r w:rsidRPr="00E77755">
        <w:rPr>
          <w:rFonts w:ascii="Times New Roman" w:hAnsi="Times New Roman" w:cs="Times New Roman"/>
          <w:color w:val="000000" w:themeColor="text1"/>
          <w:sz w:val="24"/>
          <w:szCs w:val="24"/>
        </w:rPr>
        <w:t xml:space="preserve"> të këtij ligji.</w:t>
      </w:r>
    </w:p>
    <w:p w:rsidR="00BA7752" w:rsidRPr="00E77755" w:rsidRDefault="00BA7752"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BA7752">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KREU III</w:t>
      </w:r>
    </w:p>
    <w:p w:rsidR="00BA7752" w:rsidRPr="00E77755" w:rsidRDefault="00BA7752" w:rsidP="00BA7752">
      <w:pPr>
        <w:spacing w:after="0" w:line="240" w:lineRule="auto"/>
        <w:jc w:val="center"/>
        <w:rPr>
          <w:rFonts w:ascii="Times New Roman" w:hAnsi="Times New Roman" w:cs="Times New Roman"/>
          <w:color w:val="000000" w:themeColor="text1"/>
          <w:sz w:val="24"/>
          <w:szCs w:val="24"/>
        </w:rPr>
      </w:pPr>
    </w:p>
    <w:p w:rsidR="00E71EE6" w:rsidRPr="00E77755" w:rsidRDefault="00E71EE6" w:rsidP="00BA7752">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SHPENZIMET E BUXHETIT TË SHTETIT</w:t>
      </w:r>
    </w:p>
    <w:p w:rsidR="00E71EE6" w:rsidRPr="00E77755" w:rsidRDefault="00E71EE6" w:rsidP="00BA7752">
      <w:pPr>
        <w:spacing w:after="0" w:line="240" w:lineRule="auto"/>
        <w:jc w:val="center"/>
        <w:rPr>
          <w:rFonts w:ascii="Times New Roman" w:hAnsi="Times New Roman" w:cs="Times New Roman"/>
          <w:color w:val="000000" w:themeColor="text1"/>
          <w:sz w:val="24"/>
          <w:szCs w:val="24"/>
        </w:rPr>
      </w:pPr>
    </w:p>
    <w:p w:rsidR="00E71EE6" w:rsidRPr="00E77755" w:rsidRDefault="00E71EE6" w:rsidP="00BA7752">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11</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1. Shpenzimet e buxhetit të shtetit sipas grupeve kryesore janë:</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w:t>
      </w:r>
      <w:r w:rsidRPr="00E77755">
        <w:rPr>
          <w:rFonts w:ascii="Times New Roman" w:hAnsi="Times New Roman" w:cs="Times New Roman"/>
          <w:color w:val="000000" w:themeColor="text1"/>
          <w:sz w:val="24"/>
          <w:szCs w:val="24"/>
        </w:rPr>
        <w:tab/>
        <w:t>shpenzime të buxhetit qendror</w:t>
      </w:r>
      <w:r w:rsidRPr="00E77755">
        <w:rPr>
          <w:rFonts w:ascii="Times New Roman" w:hAnsi="Times New Roman" w:cs="Times New Roman"/>
          <w:color w:val="000000" w:themeColor="text1"/>
          <w:sz w:val="24"/>
          <w:szCs w:val="24"/>
        </w:rPr>
        <w:tab/>
        <w:t xml:space="preserve">        </w:t>
      </w:r>
      <w:r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ab/>
        <w:t xml:space="preserve">  </w:t>
      </w:r>
      <w:r w:rsidR="00A00DE3" w:rsidRPr="00E77755">
        <w:rPr>
          <w:rFonts w:ascii="Times New Roman" w:hAnsi="Times New Roman" w:cs="Times New Roman"/>
          <w:color w:val="000000" w:themeColor="text1"/>
          <w:sz w:val="24"/>
          <w:szCs w:val="24"/>
        </w:rPr>
        <w:t>531 839</w:t>
      </w:r>
      <w:r w:rsidRPr="00E77755">
        <w:rPr>
          <w:rFonts w:ascii="Times New Roman" w:hAnsi="Times New Roman" w:cs="Times New Roman"/>
          <w:color w:val="000000" w:themeColor="text1"/>
          <w:sz w:val="24"/>
          <w:szCs w:val="24"/>
        </w:rPr>
        <w:tab/>
        <w:t xml:space="preserve">     milionë lekë;</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w:t>
      </w:r>
      <w:r w:rsidRPr="00E77755">
        <w:rPr>
          <w:rFonts w:ascii="Times New Roman" w:hAnsi="Times New Roman" w:cs="Times New Roman"/>
          <w:color w:val="000000" w:themeColor="text1"/>
          <w:sz w:val="24"/>
          <w:szCs w:val="24"/>
        </w:rPr>
        <w:tab/>
        <w:t>fondi rezervë i buxhe</w:t>
      </w:r>
      <w:r w:rsidR="00BA7752" w:rsidRPr="00E77755">
        <w:rPr>
          <w:rFonts w:ascii="Times New Roman" w:hAnsi="Times New Roman" w:cs="Times New Roman"/>
          <w:color w:val="000000" w:themeColor="text1"/>
          <w:sz w:val="24"/>
          <w:szCs w:val="24"/>
        </w:rPr>
        <w:t xml:space="preserve">tit                          </w:t>
      </w:r>
      <w:r w:rsidR="00BA7752" w:rsidRPr="00E77755">
        <w:rPr>
          <w:rFonts w:ascii="Times New Roman" w:hAnsi="Times New Roman" w:cs="Times New Roman"/>
          <w:color w:val="000000" w:themeColor="text1"/>
          <w:sz w:val="24"/>
          <w:szCs w:val="24"/>
        </w:rPr>
        <w:tab/>
      </w:r>
      <w:r w:rsidR="00BA7752"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2 500</w:t>
      </w:r>
      <w:r w:rsidRPr="00E77755">
        <w:rPr>
          <w:rFonts w:ascii="Times New Roman" w:hAnsi="Times New Roman" w:cs="Times New Roman"/>
          <w:color w:val="000000" w:themeColor="text1"/>
          <w:sz w:val="24"/>
          <w:szCs w:val="24"/>
        </w:rPr>
        <w:tab/>
        <w:t xml:space="preserve">     milionë lekë;</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xml:space="preserve">-  </w:t>
      </w:r>
      <w:r w:rsidRPr="00E77755">
        <w:rPr>
          <w:rFonts w:ascii="Times New Roman" w:hAnsi="Times New Roman" w:cs="Times New Roman"/>
          <w:color w:val="000000" w:themeColor="text1"/>
          <w:sz w:val="24"/>
          <w:szCs w:val="24"/>
        </w:rPr>
        <w:tab/>
        <w:t xml:space="preserve">kontingjenca për rritjen e pagave                </w:t>
      </w:r>
      <w:r w:rsidR="00BA7752" w:rsidRPr="00E77755">
        <w:rPr>
          <w:rFonts w:ascii="Times New Roman" w:hAnsi="Times New Roman" w:cs="Times New Roman"/>
          <w:color w:val="000000" w:themeColor="text1"/>
          <w:sz w:val="24"/>
          <w:szCs w:val="24"/>
        </w:rPr>
        <w:t xml:space="preserve">   11 000        </w:t>
      </w:r>
      <w:r w:rsidRPr="00E77755">
        <w:rPr>
          <w:rFonts w:ascii="Times New Roman" w:hAnsi="Times New Roman" w:cs="Times New Roman"/>
          <w:color w:val="000000" w:themeColor="text1"/>
          <w:sz w:val="24"/>
          <w:szCs w:val="24"/>
        </w:rPr>
        <w:t>milionë lekë;</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w:t>
      </w:r>
      <w:r w:rsidRPr="00E77755">
        <w:rPr>
          <w:rFonts w:ascii="Times New Roman" w:hAnsi="Times New Roman" w:cs="Times New Roman"/>
          <w:color w:val="000000" w:themeColor="text1"/>
          <w:sz w:val="24"/>
          <w:szCs w:val="24"/>
        </w:rPr>
        <w:tab/>
        <w:t>kontingjenc</w:t>
      </w:r>
      <w:r w:rsidR="00BA7752" w:rsidRPr="00E77755">
        <w:rPr>
          <w:rFonts w:ascii="Times New Roman" w:hAnsi="Times New Roman" w:cs="Times New Roman"/>
          <w:color w:val="000000" w:themeColor="text1"/>
          <w:sz w:val="24"/>
          <w:szCs w:val="24"/>
        </w:rPr>
        <w:t>a për risqet e borxhit</w:t>
      </w:r>
      <w:r w:rsidR="00BA7752" w:rsidRPr="00E77755">
        <w:rPr>
          <w:rFonts w:ascii="Times New Roman" w:hAnsi="Times New Roman" w:cs="Times New Roman"/>
          <w:color w:val="000000" w:themeColor="text1"/>
          <w:sz w:val="24"/>
          <w:szCs w:val="24"/>
        </w:rPr>
        <w:tab/>
        <w:t xml:space="preserve">      </w:t>
      </w:r>
      <w:r w:rsidR="00BA7752" w:rsidRPr="00E77755">
        <w:rPr>
          <w:rFonts w:ascii="Times New Roman" w:hAnsi="Times New Roman" w:cs="Times New Roman"/>
          <w:color w:val="000000" w:themeColor="text1"/>
          <w:sz w:val="24"/>
          <w:szCs w:val="24"/>
        </w:rPr>
        <w:tab/>
      </w:r>
      <w:r w:rsidR="00BA7752" w:rsidRPr="00E77755">
        <w:rPr>
          <w:rFonts w:ascii="Times New Roman" w:hAnsi="Times New Roman" w:cs="Times New Roman"/>
          <w:color w:val="000000" w:themeColor="text1"/>
          <w:sz w:val="24"/>
          <w:szCs w:val="24"/>
        </w:rPr>
        <w:tab/>
      </w:r>
      <w:r w:rsidRPr="00E77755">
        <w:rPr>
          <w:rFonts w:ascii="Times New Roman" w:hAnsi="Times New Roman" w:cs="Times New Roman"/>
          <w:color w:val="000000" w:themeColor="text1"/>
          <w:sz w:val="24"/>
          <w:szCs w:val="24"/>
        </w:rPr>
        <w:t>5 300</w:t>
      </w:r>
      <w:r w:rsidRPr="00E77755">
        <w:rPr>
          <w:rFonts w:ascii="Times New Roman" w:hAnsi="Times New Roman" w:cs="Times New Roman"/>
          <w:color w:val="000000" w:themeColor="text1"/>
          <w:sz w:val="24"/>
          <w:szCs w:val="24"/>
        </w:rPr>
        <w:tab/>
        <w:t xml:space="preserve">     </w:t>
      </w:r>
      <w:r w:rsidR="00BA7752" w:rsidRPr="00E77755">
        <w:rPr>
          <w:rFonts w:ascii="Times New Roman" w:hAnsi="Times New Roman" w:cs="Times New Roman"/>
          <w:color w:val="000000" w:themeColor="text1"/>
          <w:sz w:val="24"/>
          <w:szCs w:val="24"/>
        </w:rPr>
        <w:t xml:space="preserve"> </w:t>
      </w:r>
      <w:r w:rsidRPr="00E77755">
        <w:rPr>
          <w:rFonts w:ascii="Times New Roman" w:hAnsi="Times New Roman" w:cs="Times New Roman"/>
          <w:color w:val="000000" w:themeColor="text1"/>
          <w:sz w:val="24"/>
          <w:szCs w:val="24"/>
        </w:rPr>
        <w:t>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xml:space="preserve">2. </w:t>
      </w:r>
      <w:r w:rsidRPr="00E77755">
        <w:rPr>
          <w:rFonts w:ascii="Times New Roman" w:hAnsi="Times New Roman" w:cs="Times New Roman"/>
          <w:color w:val="000000" w:themeColor="text1"/>
          <w:sz w:val="24"/>
          <w:szCs w:val="24"/>
        </w:rPr>
        <w:tab/>
        <w:t>Kufiri i shpenzimeve për çdo ministri dhe institucion, në nivel programi, për shpenzime korrente dhe kapitale është sipas tabelës 1 që i bashkëlidhet këtij ligji.</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xml:space="preserve">Në tabelat 1/1 dhe 1/2 </w:t>
      </w:r>
      <w:r w:rsidR="0026293F" w:rsidRPr="00E77755">
        <w:rPr>
          <w:rFonts w:ascii="Times New Roman" w:hAnsi="Times New Roman" w:cs="Times New Roman"/>
          <w:color w:val="000000" w:themeColor="text1"/>
          <w:sz w:val="24"/>
          <w:szCs w:val="24"/>
        </w:rPr>
        <w:t xml:space="preserve">të këtij ligji </w:t>
      </w:r>
      <w:r w:rsidRPr="00E77755">
        <w:rPr>
          <w:rFonts w:ascii="Times New Roman" w:hAnsi="Times New Roman" w:cs="Times New Roman"/>
          <w:color w:val="000000" w:themeColor="text1"/>
          <w:sz w:val="24"/>
          <w:szCs w:val="24"/>
        </w:rPr>
        <w:t>përcaktohen kufijtë e shpenzimeve për çdo ministri dhe institucion, në nivel programi, për shpenzime korrente dhe kapitale, përkatësisht  për vitet  2025 dhe 2026. Transferta e pakushtëzuar për çdo njësi të vetëqeverisjes vendore miratohet vetëm për vitin 2024.</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3.</w:t>
      </w:r>
      <w:r w:rsidRPr="00E77755">
        <w:rPr>
          <w:rFonts w:ascii="Times New Roman" w:hAnsi="Times New Roman" w:cs="Times New Roman"/>
          <w:color w:val="000000" w:themeColor="text1"/>
          <w:sz w:val="24"/>
          <w:szCs w:val="24"/>
        </w:rPr>
        <w:tab/>
        <w:t xml:space="preserve">Të ardhurat dhe shpenzimet e buxhetit, sipas zërave kryesorë, për dy vitet e mëparshme fiskale dhe tri vitet </w:t>
      </w:r>
      <w:r w:rsidR="00BA7752" w:rsidRPr="00E77755">
        <w:rPr>
          <w:rFonts w:ascii="Times New Roman" w:hAnsi="Times New Roman" w:cs="Times New Roman"/>
          <w:color w:val="000000" w:themeColor="text1"/>
          <w:sz w:val="24"/>
          <w:szCs w:val="24"/>
        </w:rPr>
        <w:t>e ardhshme janë sipas tabelës 4</w:t>
      </w:r>
      <w:r w:rsidRPr="00E77755">
        <w:rPr>
          <w:rFonts w:ascii="Times New Roman" w:hAnsi="Times New Roman" w:cs="Times New Roman"/>
          <w:color w:val="000000" w:themeColor="text1"/>
          <w:sz w:val="24"/>
          <w:szCs w:val="24"/>
        </w:rPr>
        <w:t xml:space="preserve"> që i bashkëlidhet  këtij ligji.</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4.</w:t>
      </w:r>
      <w:r w:rsidRPr="00E77755">
        <w:rPr>
          <w:rFonts w:ascii="Times New Roman" w:hAnsi="Times New Roman" w:cs="Times New Roman"/>
          <w:color w:val="000000" w:themeColor="text1"/>
          <w:sz w:val="24"/>
          <w:szCs w:val="24"/>
        </w:rPr>
        <w:tab/>
        <w:t>Njësitë e qeverisjes së përgjithshme mund të fillojnë procedurën e prokurimit të fondeve që në muajin nëntor të vitit korrent nëse fondet janë akorduar/regjistruar në sistemin e thesarit për vitin 2025 dhe në vijim, me kushtin që kjo kontratë të bëhet efektive vetëm pas miratimit të ligjit të buxhetit përkatës. Për projektet e investimeve publike shumëvjeçare, me vlerë të plotë mbi 650 milionë lekë, procedura e prokurimit mund të fillojë që në muajin prill të vitit korrent.</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lastRenderedPageBreak/>
        <w:t>5.</w:t>
      </w:r>
      <w:r w:rsidRPr="00E77755">
        <w:rPr>
          <w:rFonts w:ascii="Times New Roman" w:hAnsi="Times New Roman" w:cs="Times New Roman"/>
          <w:color w:val="000000" w:themeColor="text1"/>
          <w:sz w:val="24"/>
          <w:szCs w:val="24"/>
        </w:rPr>
        <w:tab/>
        <w:t>Kriteret bazë, masa e përfitimit, mënyra e përdorimit të fondit, të përcaktuara në shpenzimet korrente të programit buxhetor “Zhvillimi rural duke mbështetur prodhimin bujqësor, blegtoral, agroindustrial dhe marketingun” në Ministrinë e Bujqësisë dhe Zhvillimit Rural, për skemën e mbështetjes së naftës për bujqësinë miratohen me vendim të Këshillit të Ministrave.</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6.</w:t>
      </w:r>
      <w:r w:rsidRPr="00E77755">
        <w:rPr>
          <w:rFonts w:ascii="Times New Roman" w:hAnsi="Times New Roman" w:cs="Times New Roman"/>
          <w:color w:val="000000" w:themeColor="text1"/>
          <w:sz w:val="24"/>
          <w:szCs w:val="24"/>
        </w:rPr>
        <w:tab/>
        <w:t>Fondi prej 100 milionë lekësh, i parashikuar në programin buxhetor “Ekzekutimi i pagesave të ndryshme” në Minis</w:t>
      </w:r>
      <w:r w:rsidR="0026293F" w:rsidRPr="00E77755">
        <w:rPr>
          <w:rFonts w:ascii="Times New Roman" w:hAnsi="Times New Roman" w:cs="Times New Roman"/>
          <w:color w:val="000000" w:themeColor="text1"/>
          <w:sz w:val="24"/>
          <w:szCs w:val="24"/>
        </w:rPr>
        <w:t>trinë e Financave dhe Ekonomisë</w:t>
      </w:r>
      <w:r w:rsidRPr="00E77755">
        <w:rPr>
          <w:rFonts w:ascii="Times New Roman" w:hAnsi="Times New Roman" w:cs="Times New Roman"/>
          <w:color w:val="000000" w:themeColor="text1"/>
          <w:sz w:val="24"/>
          <w:szCs w:val="24"/>
        </w:rPr>
        <w:t xml:space="preserve"> përdoret për parafinancimin, bashkëfinancimin dhe pagesën e tatimit mbi vlerën e shtuar dhe të detyrimeve doganore për projektet me financim të huaj. Procedurat e shpërndarjes së këtij fondi përcaktohen me udhëzim të ministrit përgjegjës për financat. Shumat e shpërndara nga ky fond shtojnë kufijtë e shpenzimeve të përcaktuara në nenin 3</w:t>
      </w:r>
      <w:r w:rsidR="0026293F" w:rsidRPr="00E77755">
        <w:rPr>
          <w:rFonts w:ascii="Times New Roman" w:hAnsi="Times New Roman" w:cs="Times New Roman"/>
          <w:color w:val="000000" w:themeColor="text1"/>
          <w:sz w:val="24"/>
          <w:szCs w:val="24"/>
        </w:rPr>
        <w:t xml:space="preserve"> të këtij ligji</w:t>
      </w:r>
      <w:r w:rsidRPr="00E77755">
        <w:rPr>
          <w:rFonts w:ascii="Times New Roman" w:hAnsi="Times New Roman" w:cs="Times New Roman"/>
          <w:color w:val="000000" w:themeColor="text1"/>
          <w:sz w:val="24"/>
          <w:szCs w:val="24"/>
        </w:rPr>
        <w:t xml:space="preserve">, si dhe në tabelat 1 dhe 3, që përmenden </w:t>
      </w:r>
      <w:r w:rsidR="00BA7752" w:rsidRPr="00E77755">
        <w:rPr>
          <w:rFonts w:ascii="Times New Roman" w:hAnsi="Times New Roman" w:cs="Times New Roman"/>
          <w:color w:val="000000" w:themeColor="text1"/>
          <w:sz w:val="24"/>
          <w:szCs w:val="24"/>
        </w:rPr>
        <w:t>përkatësisht në nenet 11 dhe 15</w:t>
      </w:r>
      <w:r w:rsidRPr="00E77755">
        <w:rPr>
          <w:rFonts w:ascii="Times New Roman" w:hAnsi="Times New Roman" w:cs="Times New Roman"/>
          <w:color w:val="000000" w:themeColor="text1"/>
          <w:sz w:val="24"/>
          <w:szCs w:val="24"/>
        </w:rPr>
        <w:t xml:space="preserve"> të këtij ligji.</w:t>
      </w:r>
    </w:p>
    <w:p w:rsidR="00A00DE3" w:rsidRPr="00E77755" w:rsidRDefault="00A00DE3"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7</w:t>
      </w:r>
      <w:r w:rsidR="0026293F" w:rsidRPr="00E77755">
        <w:rPr>
          <w:rFonts w:ascii="Times New Roman" w:hAnsi="Times New Roman" w:cs="Times New Roman"/>
          <w:color w:val="000000" w:themeColor="text1"/>
          <w:sz w:val="24"/>
          <w:szCs w:val="24"/>
        </w:rPr>
        <w:t>. Fondi prej 400 milionë lekësh në zërin "shpenzime kapitale"</w:t>
      </w:r>
      <w:r w:rsidRPr="00E77755">
        <w:rPr>
          <w:rFonts w:ascii="Times New Roman" w:hAnsi="Times New Roman" w:cs="Times New Roman"/>
          <w:color w:val="000000" w:themeColor="text1"/>
          <w:sz w:val="24"/>
          <w:szCs w:val="24"/>
        </w:rPr>
        <w:t xml:space="preserve"> në </w:t>
      </w:r>
      <w:r w:rsidR="00CB474E" w:rsidRPr="00E77755">
        <w:rPr>
          <w:rFonts w:ascii="Times New Roman" w:hAnsi="Times New Roman" w:cs="Times New Roman"/>
          <w:color w:val="000000" w:themeColor="text1"/>
          <w:sz w:val="24"/>
          <w:szCs w:val="24"/>
        </w:rPr>
        <w:t>p</w:t>
      </w:r>
      <w:r w:rsidRPr="00E77755">
        <w:rPr>
          <w:rFonts w:ascii="Times New Roman" w:hAnsi="Times New Roman" w:cs="Times New Roman"/>
          <w:color w:val="000000" w:themeColor="text1"/>
          <w:sz w:val="24"/>
          <w:szCs w:val="24"/>
        </w:rPr>
        <w:t xml:space="preserve">rogramin "Menaxhimi i </w:t>
      </w:r>
      <w:r w:rsidR="00CB474E" w:rsidRPr="00E77755">
        <w:rPr>
          <w:rFonts w:ascii="Times New Roman" w:hAnsi="Times New Roman" w:cs="Times New Roman"/>
          <w:color w:val="000000" w:themeColor="text1"/>
          <w:sz w:val="24"/>
          <w:szCs w:val="24"/>
        </w:rPr>
        <w:t>i</w:t>
      </w:r>
      <w:r w:rsidRPr="00E77755">
        <w:rPr>
          <w:rFonts w:ascii="Times New Roman" w:hAnsi="Times New Roman" w:cs="Times New Roman"/>
          <w:color w:val="000000" w:themeColor="text1"/>
          <w:sz w:val="24"/>
          <w:szCs w:val="24"/>
        </w:rPr>
        <w:t xml:space="preserve">nfrastrukturës së </w:t>
      </w:r>
      <w:r w:rsidR="00CB474E" w:rsidRPr="00E77755">
        <w:rPr>
          <w:rFonts w:ascii="Times New Roman" w:hAnsi="Times New Roman" w:cs="Times New Roman"/>
          <w:color w:val="000000" w:themeColor="text1"/>
          <w:sz w:val="24"/>
          <w:szCs w:val="24"/>
        </w:rPr>
        <w:t>k</w:t>
      </w:r>
      <w:r w:rsidRPr="00E77755">
        <w:rPr>
          <w:rFonts w:ascii="Times New Roman" w:hAnsi="Times New Roman" w:cs="Times New Roman"/>
          <w:color w:val="000000" w:themeColor="text1"/>
          <w:sz w:val="24"/>
          <w:szCs w:val="24"/>
        </w:rPr>
        <w:t xml:space="preserve">ullimit dhe </w:t>
      </w:r>
      <w:r w:rsidR="00CB474E" w:rsidRPr="00E77755">
        <w:rPr>
          <w:rFonts w:ascii="Times New Roman" w:hAnsi="Times New Roman" w:cs="Times New Roman"/>
          <w:color w:val="000000" w:themeColor="text1"/>
          <w:sz w:val="24"/>
          <w:szCs w:val="24"/>
        </w:rPr>
        <w:t>u</w:t>
      </w:r>
      <w:r w:rsidR="00D1517D" w:rsidRPr="00E77755">
        <w:rPr>
          <w:rFonts w:ascii="Times New Roman" w:hAnsi="Times New Roman" w:cs="Times New Roman"/>
          <w:color w:val="000000" w:themeColor="text1"/>
          <w:sz w:val="24"/>
          <w:szCs w:val="24"/>
        </w:rPr>
        <w:t xml:space="preserve">jitjes" </w:t>
      </w:r>
      <w:r w:rsidRPr="00E77755">
        <w:rPr>
          <w:rFonts w:ascii="Times New Roman" w:hAnsi="Times New Roman" w:cs="Times New Roman"/>
          <w:color w:val="000000" w:themeColor="text1"/>
          <w:sz w:val="24"/>
          <w:szCs w:val="24"/>
        </w:rPr>
        <w:t>të Ministrisë së</w:t>
      </w:r>
      <w:r w:rsidR="00D1517D" w:rsidRPr="00E77755">
        <w:rPr>
          <w:rFonts w:ascii="Times New Roman" w:hAnsi="Times New Roman" w:cs="Times New Roman"/>
          <w:color w:val="000000" w:themeColor="text1"/>
          <w:sz w:val="24"/>
          <w:szCs w:val="24"/>
        </w:rPr>
        <w:t xml:space="preserve"> Bujqësisë dhe Zhvillimit Rural</w:t>
      </w:r>
      <w:r w:rsidRPr="00E77755">
        <w:rPr>
          <w:rFonts w:ascii="Times New Roman" w:hAnsi="Times New Roman" w:cs="Times New Roman"/>
          <w:color w:val="000000" w:themeColor="text1"/>
          <w:sz w:val="24"/>
          <w:szCs w:val="24"/>
        </w:rPr>
        <w:t xml:space="preserve"> akordohet me vendim të Këshillit të Ministrave për financimin e projekteve të infrastrukturës së </w:t>
      </w:r>
      <w:r w:rsidR="00D1517D" w:rsidRPr="00E77755">
        <w:rPr>
          <w:rFonts w:ascii="Times New Roman" w:hAnsi="Times New Roman" w:cs="Times New Roman"/>
          <w:color w:val="000000" w:themeColor="text1"/>
          <w:sz w:val="24"/>
          <w:szCs w:val="24"/>
        </w:rPr>
        <w:t xml:space="preserve">kullimit dhe ujitjes </w:t>
      </w:r>
      <w:r w:rsidRPr="00E77755">
        <w:rPr>
          <w:rFonts w:ascii="Times New Roman" w:hAnsi="Times New Roman" w:cs="Times New Roman"/>
          <w:color w:val="000000" w:themeColor="text1"/>
          <w:sz w:val="24"/>
          <w:szCs w:val="24"/>
        </w:rPr>
        <w:t>të bashkive.</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BA7752">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12</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1.</w:t>
      </w:r>
      <w:r w:rsidRPr="00E77755">
        <w:rPr>
          <w:rFonts w:ascii="Times New Roman" w:hAnsi="Times New Roman" w:cs="Times New Roman"/>
          <w:color w:val="000000" w:themeColor="text1"/>
          <w:sz w:val="24"/>
          <w:szCs w:val="24"/>
        </w:rPr>
        <w:tab/>
        <w:t xml:space="preserve">Numri i përgjithshëm i punonjësve në organikë është  </w:t>
      </w:r>
      <w:r w:rsidR="00637B8A" w:rsidRPr="00E77755">
        <w:rPr>
          <w:rFonts w:ascii="Times New Roman" w:hAnsi="Times New Roman" w:cs="Times New Roman"/>
          <w:color w:val="000000" w:themeColor="text1"/>
          <w:sz w:val="24"/>
          <w:szCs w:val="24"/>
        </w:rPr>
        <w:t>85 274</w:t>
      </w:r>
      <w:r w:rsidRPr="00E77755">
        <w:rPr>
          <w:rFonts w:ascii="Times New Roman" w:hAnsi="Times New Roman" w:cs="Times New Roman"/>
          <w:color w:val="000000" w:themeColor="text1"/>
          <w:sz w:val="24"/>
          <w:szCs w:val="24"/>
        </w:rPr>
        <w:t>. Numri maksimal i punonjësve për çdo ministri dhe institucion qendror, i dhënë në tabelën 2 që i bashkëlidhet këtij ligji dhe është pjesë përbërëse e tij, detajohet nga minist</w:t>
      </w:r>
      <w:r w:rsidR="00225EBD" w:rsidRPr="00E77755">
        <w:rPr>
          <w:rFonts w:ascii="Times New Roman" w:hAnsi="Times New Roman" w:cs="Times New Roman"/>
          <w:color w:val="000000" w:themeColor="text1"/>
          <w:sz w:val="24"/>
          <w:szCs w:val="24"/>
        </w:rPr>
        <w:t>ritë dhe institucionet qendrore</w:t>
      </w:r>
      <w:r w:rsidRPr="00E77755">
        <w:rPr>
          <w:rFonts w:ascii="Times New Roman" w:hAnsi="Times New Roman" w:cs="Times New Roman"/>
          <w:color w:val="000000" w:themeColor="text1"/>
          <w:sz w:val="24"/>
          <w:szCs w:val="24"/>
        </w:rPr>
        <w:t xml:space="preserve"> në përputhje me strukturat e miratuara për çdo institucion varësie. Këshilli i Ministrave mund të rishpërndajë numrin e punonjësve ndërmjet institucioneve të përmendura në tabelën 2, që i bashkëlidhet këtij ligji, në rastin e ristrukturimit të institucioneve ekzistuese ose krijimit të institucioneve të reja.</w:t>
      </w:r>
    </w:p>
    <w:p w:rsidR="00E71EE6" w:rsidRPr="00E77755" w:rsidRDefault="00E71EE6" w:rsidP="001E2ADF">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Numri i punonjësve</w:t>
      </w:r>
      <w:r w:rsidR="001E2ADF" w:rsidRPr="00E77755">
        <w:rPr>
          <w:rFonts w:ascii="Times New Roman" w:hAnsi="Times New Roman" w:cs="Times New Roman"/>
          <w:color w:val="000000" w:themeColor="text1"/>
          <w:sz w:val="24"/>
          <w:szCs w:val="24"/>
        </w:rPr>
        <w:t>,</w:t>
      </w:r>
      <w:r w:rsidRPr="00E77755">
        <w:rPr>
          <w:rFonts w:ascii="Times New Roman" w:hAnsi="Times New Roman" w:cs="Times New Roman"/>
          <w:color w:val="000000" w:themeColor="text1"/>
          <w:sz w:val="24"/>
          <w:szCs w:val="24"/>
        </w:rPr>
        <w:t xml:space="preserve"> </w:t>
      </w:r>
      <w:r w:rsidR="001E2ADF" w:rsidRPr="00E77755">
        <w:rPr>
          <w:rFonts w:ascii="Times New Roman" w:hAnsi="Times New Roman" w:cs="Times New Roman"/>
          <w:color w:val="000000" w:themeColor="text1"/>
          <w:sz w:val="24"/>
          <w:szCs w:val="24"/>
        </w:rPr>
        <w:t>i cili</w:t>
      </w:r>
      <w:r w:rsidRPr="00E77755">
        <w:rPr>
          <w:rFonts w:ascii="Times New Roman" w:hAnsi="Times New Roman" w:cs="Times New Roman"/>
          <w:color w:val="000000" w:themeColor="text1"/>
          <w:sz w:val="24"/>
          <w:szCs w:val="24"/>
        </w:rPr>
        <w:t xml:space="preserve"> nga ristrukturimi i çdo institucioni, i realizuar në kuadër </w:t>
      </w:r>
      <w:r w:rsidR="001E2ADF" w:rsidRPr="00E77755">
        <w:rPr>
          <w:rFonts w:ascii="Times New Roman" w:hAnsi="Times New Roman" w:cs="Times New Roman"/>
          <w:color w:val="000000" w:themeColor="text1"/>
          <w:sz w:val="24"/>
          <w:szCs w:val="24"/>
        </w:rPr>
        <w:t xml:space="preserve">të </w:t>
      </w:r>
      <w:r w:rsidRPr="00E77755">
        <w:rPr>
          <w:rFonts w:ascii="Times New Roman" w:hAnsi="Times New Roman" w:cs="Times New Roman"/>
          <w:color w:val="000000" w:themeColor="text1"/>
          <w:sz w:val="24"/>
          <w:szCs w:val="24"/>
        </w:rPr>
        <w:t>reformës së pagave, rezulton i pakësuar në krahasim me atë të miratuar në tabelën 2</w:t>
      </w:r>
      <w:r w:rsidR="001E2ADF" w:rsidRPr="00E77755">
        <w:rPr>
          <w:rFonts w:ascii="Times New Roman" w:hAnsi="Times New Roman" w:cs="Times New Roman"/>
          <w:color w:val="000000" w:themeColor="text1"/>
          <w:sz w:val="24"/>
          <w:szCs w:val="24"/>
        </w:rPr>
        <w:t xml:space="preserve"> të këtij ligji</w:t>
      </w:r>
      <w:r w:rsidRPr="00E77755">
        <w:rPr>
          <w:rFonts w:ascii="Times New Roman" w:hAnsi="Times New Roman" w:cs="Times New Roman"/>
          <w:color w:val="000000" w:themeColor="text1"/>
          <w:sz w:val="24"/>
          <w:szCs w:val="24"/>
        </w:rPr>
        <w:t>, kalon në numrin rezervë të parashikuar në këtë tabelë dhe përdoret me vendim të Këshillit të Ministrave për krijimin e institucioneve/funksioneve të reja</w:t>
      </w:r>
      <w:r w:rsidR="001E2ADF" w:rsidRPr="00E77755">
        <w:rPr>
          <w:rFonts w:ascii="Times New Roman" w:hAnsi="Times New Roman" w:cs="Times New Roman"/>
          <w:color w:val="000000" w:themeColor="text1"/>
          <w:sz w:val="24"/>
          <w:szCs w:val="24"/>
        </w:rPr>
        <w:t>,</w:t>
      </w:r>
      <w:r w:rsidRPr="00E77755">
        <w:rPr>
          <w:rFonts w:ascii="Times New Roman" w:hAnsi="Times New Roman" w:cs="Times New Roman"/>
          <w:color w:val="000000" w:themeColor="text1"/>
          <w:sz w:val="24"/>
          <w:szCs w:val="24"/>
        </w:rPr>
        <w:t xml:space="preserve"> si dhe për strukturat e lidhura me negociatat </w:t>
      </w:r>
      <w:r w:rsidR="001E2ADF" w:rsidRPr="00E77755">
        <w:rPr>
          <w:rFonts w:ascii="Times New Roman" w:hAnsi="Times New Roman" w:cs="Times New Roman"/>
          <w:color w:val="000000" w:themeColor="text1"/>
          <w:sz w:val="24"/>
          <w:szCs w:val="24"/>
        </w:rPr>
        <w:t>dhe anëtarësimin në Bashkimin Eu</w:t>
      </w:r>
      <w:r w:rsidRPr="00E77755">
        <w:rPr>
          <w:rFonts w:ascii="Times New Roman" w:hAnsi="Times New Roman" w:cs="Times New Roman"/>
          <w:color w:val="000000" w:themeColor="text1"/>
          <w:sz w:val="24"/>
          <w:szCs w:val="24"/>
        </w:rPr>
        <w:t>ropian.</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2.</w:t>
      </w:r>
      <w:r w:rsidRPr="00E77755">
        <w:rPr>
          <w:rFonts w:ascii="Times New Roman" w:hAnsi="Times New Roman" w:cs="Times New Roman"/>
          <w:color w:val="000000" w:themeColor="text1"/>
          <w:sz w:val="24"/>
          <w:szCs w:val="24"/>
        </w:rPr>
        <w:tab/>
        <w:t>Këshilli i Ministrave përcakton numrin e punonjësve me kontratë të përkohshme për çdo ministri dhe institucion qendror. Rregullat për kontraktimin dhe pagesën e punonjësve të përk</w:t>
      </w:r>
      <w:r w:rsidR="001E2ADF" w:rsidRPr="00E77755">
        <w:rPr>
          <w:rFonts w:ascii="Times New Roman" w:hAnsi="Times New Roman" w:cs="Times New Roman"/>
          <w:color w:val="000000" w:themeColor="text1"/>
          <w:sz w:val="24"/>
          <w:szCs w:val="24"/>
        </w:rPr>
        <w:t xml:space="preserve">ohshëm përcaktohen në aneksin 5 që i bashkëlidhet këtij </w:t>
      </w:r>
      <w:r w:rsidRPr="00E77755">
        <w:rPr>
          <w:rFonts w:ascii="Times New Roman" w:hAnsi="Times New Roman" w:cs="Times New Roman"/>
          <w:color w:val="000000" w:themeColor="text1"/>
          <w:sz w:val="24"/>
          <w:szCs w:val="24"/>
        </w:rPr>
        <w:t>ligji.</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3.</w:t>
      </w:r>
      <w:r w:rsidRPr="00E77755">
        <w:rPr>
          <w:rFonts w:ascii="Times New Roman" w:hAnsi="Times New Roman" w:cs="Times New Roman"/>
          <w:color w:val="000000" w:themeColor="text1"/>
          <w:sz w:val="24"/>
          <w:szCs w:val="24"/>
        </w:rPr>
        <w:tab/>
        <w:t>Për vitin 2024 nuk miratohet asnjë ndryshim në strukturat organike të njësive të qeverisjes qendrore me efekte financiare shtesë në koston e personelit, të përllogaritur sipas strukturës së miratuar, me përjashtim të institucioneve/funksioneve të reja. Ky përcaktim përfshin edhe ato struktura në të cilat paga për funksion jepet ose është sipas gradës përkatëse, ku çdo rritje në gradë do të bëhet efektive vetëm nëse nuk shoqërohet me efekte financiare shtesë në koston e përllogaritur sipas gradave të miratuara.</w:t>
      </w: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4.</w:t>
      </w:r>
      <w:r w:rsidRPr="00E77755">
        <w:rPr>
          <w:rFonts w:ascii="Times New Roman" w:hAnsi="Times New Roman" w:cs="Times New Roman"/>
          <w:color w:val="000000" w:themeColor="text1"/>
          <w:sz w:val="24"/>
          <w:szCs w:val="24"/>
        </w:rPr>
        <w:tab/>
        <w:t>Fondi i veçantë i institucioneve buxhetore prej 400 milionë lekësh shpërndahet dhe përdoret sipas procedurave që përcaktohen me udhëzim të ministrit përgjegjës për financat. Shumat e shpërndara nga ky fond shtojnë kufijtë e miratuar në tabe</w:t>
      </w:r>
      <w:r w:rsidR="001E2ADF" w:rsidRPr="00E77755">
        <w:rPr>
          <w:rFonts w:ascii="Times New Roman" w:hAnsi="Times New Roman" w:cs="Times New Roman"/>
          <w:color w:val="000000" w:themeColor="text1"/>
          <w:sz w:val="24"/>
          <w:szCs w:val="24"/>
        </w:rPr>
        <w:t>lën 1, që përmendet në nenin 11</w:t>
      </w:r>
      <w:r w:rsidRPr="00E77755">
        <w:rPr>
          <w:rFonts w:ascii="Times New Roman" w:hAnsi="Times New Roman" w:cs="Times New Roman"/>
          <w:color w:val="000000" w:themeColor="text1"/>
          <w:sz w:val="24"/>
          <w:szCs w:val="24"/>
        </w:rPr>
        <w:t xml:space="preserve"> të këtij ligji.</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BA7752">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13</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BA7752">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Paga e Presidentit të Republikës është 425 000 lekë në muaj.</w:t>
      </w:r>
    </w:p>
    <w:p w:rsidR="00BA7752" w:rsidRPr="00E77755" w:rsidRDefault="00BA7752"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BA7752">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14</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3D63F5">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1.</w:t>
      </w:r>
      <w:r w:rsidRPr="00E77755">
        <w:rPr>
          <w:rFonts w:ascii="Times New Roman" w:hAnsi="Times New Roman" w:cs="Times New Roman"/>
          <w:color w:val="000000" w:themeColor="text1"/>
          <w:sz w:val="24"/>
          <w:szCs w:val="24"/>
        </w:rPr>
        <w:tab/>
        <w:t xml:space="preserve">Fondi rezervë prej  2 500 milionë lekësh përdoret me vendim të Këshillit të Ministrave për raste të paparashikuara të njësive të qeverisjes së përgjithshme. Çdo ministri apo institucion qendror buxhetor paraqet kërkesën për përdorimin e fondit rezervë në ministrinë përgjegjëse për financat, në </w:t>
      </w:r>
      <w:r w:rsidRPr="00E77755">
        <w:rPr>
          <w:rFonts w:ascii="Times New Roman" w:hAnsi="Times New Roman" w:cs="Times New Roman"/>
          <w:color w:val="000000" w:themeColor="text1"/>
          <w:sz w:val="24"/>
          <w:szCs w:val="24"/>
        </w:rPr>
        <w:lastRenderedPageBreak/>
        <w:t>p</w:t>
      </w:r>
      <w:r w:rsidR="003B717B" w:rsidRPr="00E77755">
        <w:rPr>
          <w:rFonts w:ascii="Times New Roman" w:hAnsi="Times New Roman" w:cs="Times New Roman"/>
          <w:color w:val="000000" w:themeColor="text1"/>
          <w:sz w:val="24"/>
          <w:szCs w:val="24"/>
        </w:rPr>
        <w:t>ërputhje me kërkesat e nenit 45</w:t>
      </w:r>
      <w:r w:rsidRPr="00E77755">
        <w:rPr>
          <w:rFonts w:ascii="Times New Roman" w:hAnsi="Times New Roman" w:cs="Times New Roman"/>
          <w:color w:val="000000" w:themeColor="text1"/>
          <w:sz w:val="24"/>
          <w:szCs w:val="24"/>
        </w:rPr>
        <w:t xml:space="preserve"> të ligjit nr.</w:t>
      </w:r>
      <w:r w:rsidR="003B717B" w:rsidRPr="00E77755">
        <w:rPr>
          <w:rFonts w:ascii="Times New Roman" w:hAnsi="Times New Roman" w:cs="Times New Roman"/>
          <w:color w:val="000000" w:themeColor="text1"/>
          <w:sz w:val="24"/>
          <w:szCs w:val="24"/>
        </w:rPr>
        <w:t xml:space="preserve"> </w:t>
      </w:r>
      <w:r w:rsidRPr="00E77755">
        <w:rPr>
          <w:rFonts w:ascii="Times New Roman" w:hAnsi="Times New Roman" w:cs="Times New Roman"/>
          <w:color w:val="000000" w:themeColor="text1"/>
          <w:sz w:val="24"/>
          <w:szCs w:val="24"/>
        </w:rPr>
        <w:t>9936, datë 26.6.2008, “Për menaxhimin e sistemit buxhetor në Republ</w:t>
      </w:r>
      <w:r w:rsidR="001E24B1" w:rsidRPr="00E77755">
        <w:rPr>
          <w:rFonts w:ascii="Times New Roman" w:hAnsi="Times New Roman" w:cs="Times New Roman"/>
          <w:color w:val="000000" w:themeColor="text1"/>
          <w:sz w:val="24"/>
          <w:szCs w:val="24"/>
        </w:rPr>
        <w:t>ikën e Shqipërisë”, i ndryshuar.</w:t>
      </w:r>
      <w:r w:rsidRPr="00E77755">
        <w:rPr>
          <w:rFonts w:ascii="Times New Roman" w:hAnsi="Times New Roman" w:cs="Times New Roman"/>
          <w:color w:val="000000" w:themeColor="text1"/>
          <w:sz w:val="24"/>
          <w:szCs w:val="24"/>
        </w:rPr>
        <w:t xml:space="preserve"> </w:t>
      </w:r>
      <w:r w:rsidR="001E24B1" w:rsidRPr="00E77755">
        <w:rPr>
          <w:rFonts w:ascii="Times New Roman" w:hAnsi="Times New Roman" w:cs="Times New Roman"/>
          <w:color w:val="000000" w:themeColor="text1"/>
          <w:sz w:val="24"/>
          <w:szCs w:val="24"/>
        </w:rPr>
        <w:t>P</w:t>
      </w:r>
      <w:r w:rsidRPr="00E77755">
        <w:rPr>
          <w:rFonts w:ascii="Times New Roman" w:hAnsi="Times New Roman" w:cs="Times New Roman"/>
          <w:color w:val="000000" w:themeColor="text1"/>
          <w:sz w:val="24"/>
          <w:szCs w:val="24"/>
        </w:rPr>
        <w:t xml:space="preserve">as miratimit </w:t>
      </w:r>
      <w:r w:rsidR="00E90D23" w:rsidRPr="00E77755">
        <w:rPr>
          <w:rFonts w:ascii="Times New Roman" w:hAnsi="Times New Roman" w:cs="Times New Roman"/>
          <w:color w:val="000000" w:themeColor="text1"/>
          <w:sz w:val="24"/>
          <w:szCs w:val="24"/>
        </w:rPr>
        <w:t>të kërkesës nga</w:t>
      </w:r>
      <w:r w:rsidR="001E24B1" w:rsidRPr="00E77755">
        <w:rPr>
          <w:rFonts w:ascii="Times New Roman" w:hAnsi="Times New Roman" w:cs="Times New Roman"/>
          <w:color w:val="000000" w:themeColor="text1"/>
          <w:sz w:val="24"/>
          <w:szCs w:val="24"/>
        </w:rPr>
        <w:t xml:space="preserve"> ministri përgjegjës për financat</w:t>
      </w:r>
      <w:r w:rsidRPr="00E77755">
        <w:rPr>
          <w:rFonts w:ascii="Times New Roman" w:hAnsi="Times New Roman" w:cs="Times New Roman"/>
          <w:color w:val="000000" w:themeColor="text1"/>
          <w:sz w:val="24"/>
          <w:szCs w:val="24"/>
        </w:rPr>
        <w:t xml:space="preserve">, ministria apo institucioni qendror buxhetor paraqet për shqyrtim dhe miratim në Këshillin e Ministrave projektvendimin përkatës. </w:t>
      </w: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2.</w:t>
      </w:r>
      <w:r w:rsidRPr="00E77755">
        <w:rPr>
          <w:rFonts w:ascii="Times New Roman" w:hAnsi="Times New Roman" w:cs="Times New Roman"/>
          <w:color w:val="000000" w:themeColor="text1"/>
          <w:sz w:val="24"/>
          <w:szCs w:val="24"/>
        </w:rPr>
        <w:tab/>
        <w:t xml:space="preserve">Kontingjenca për risqet e borxhit prej 5 300 milionë lekësh përdoret nga ministri përgjegjës për financat për të kompensuar rreziqe potenciale nga luhatjet në kurset e </w:t>
      </w:r>
      <w:r w:rsidR="00E90D23" w:rsidRPr="00E77755">
        <w:rPr>
          <w:rFonts w:ascii="Times New Roman" w:hAnsi="Times New Roman" w:cs="Times New Roman"/>
          <w:color w:val="000000" w:themeColor="text1"/>
          <w:sz w:val="24"/>
          <w:szCs w:val="24"/>
        </w:rPr>
        <w:t>këmbimit ose normat e interesit</w:t>
      </w:r>
      <w:r w:rsidRPr="00E77755">
        <w:rPr>
          <w:rFonts w:ascii="Times New Roman" w:hAnsi="Times New Roman" w:cs="Times New Roman"/>
          <w:color w:val="000000" w:themeColor="text1"/>
          <w:sz w:val="24"/>
          <w:szCs w:val="24"/>
        </w:rPr>
        <w:t xml:space="preserve"> me ndikim në shpenzimet për interesa.</w:t>
      </w: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3.</w:t>
      </w:r>
      <w:r w:rsidRPr="00E77755">
        <w:rPr>
          <w:rFonts w:ascii="Times New Roman" w:hAnsi="Times New Roman" w:cs="Times New Roman"/>
          <w:color w:val="000000" w:themeColor="text1"/>
          <w:sz w:val="24"/>
          <w:szCs w:val="24"/>
        </w:rPr>
        <w:tab/>
        <w:t>Kontingjenca për rritjen e pagave prej 11 000 milionë lekësh përdoret me vendim të Këshillit të Ministrave për politika të reja pagash.</w:t>
      </w: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4.</w:t>
      </w:r>
      <w:r w:rsidRPr="00E77755">
        <w:rPr>
          <w:rFonts w:ascii="Times New Roman" w:hAnsi="Times New Roman" w:cs="Times New Roman"/>
          <w:color w:val="000000" w:themeColor="text1"/>
          <w:sz w:val="24"/>
          <w:szCs w:val="24"/>
        </w:rPr>
        <w:tab/>
        <w:t xml:space="preserve">Shumat e shpërndara nga fondi rezervё, </w:t>
      </w:r>
      <w:r w:rsidR="00001183" w:rsidRPr="00E77755">
        <w:rPr>
          <w:rFonts w:ascii="Times New Roman" w:hAnsi="Times New Roman" w:cs="Times New Roman"/>
          <w:color w:val="000000" w:themeColor="text1"/>
          <w:sz w:val="24"/>
          <w:szCs w:val="24"/>
        </w:rPr>
        <w:t xml:space="preserve">kontingjenca për risqet e borxhit dhe kontingjenca për rritjen e pagave </w:t>
      </w:r>
      <w:r w:rsidRPr="00E77755">
        <w:rPr>
          <w:rFonts w:ascii="Times New Roman" w:hAnsi="Times New Roman" w:cs="Times New Roman"/>
          <w:color w:val="000000" w:themeColor="text1"/>
          <w:sz w:val="24"/>
          <w:szCs w:val="24"/>
        </w:rPr>
        <w:t xml:space="preserve">shtojnë kufijtë e miratuar në tabelat 1 </w:t>
      </w:r>
      <w:r w:rsidR="003960E0" w:rsidRPr="00E77755">
        <w:rPr>
          <w:rFonts w:ascii="Times New Roman" w:hAnsi="Times New Roman" w:cs="Times New Roman"/>
          <w:color w:val="000000" w:themeColor="text1"/>
          <w:sz w:val="24"/>
          <w:szCs w:val="24"/>
        </w:rPr>
        <w:t>dhe 4, që përmenden në nenin 11</w:t>
      </w:r>
      <w:r w:rsidRPr="00E77755">
        <w:rPr>
          <w:rFonts w:ascii="Times New Roman" w:hAnsi="Times New Roman" w:cs="Times New Roman"/>
          <w:color w:val="000000" w:themeColor="text1"/>
          <w:sz w:val="24"/>
          <w:szCs w:val="24"/>
        </w:rPr>
        <w:t xml:space="preserve"> të këtij ligji.</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3B717B">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15</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1.</w:t>
      </w:r>
      <w:r w:rsidRPr="00E77755">
        <w:rPr>
          <w:rFonts w:ascii="Times New Roman" w:hAnsi="Times New Roman" w:cs="Times New Roman"/>
          <w:color w:val="000000" w:themeColor="text1"/>
          <w:sz w:val="24"/>
          <w:szCs w:val="24"/>
        </w:rPr>
        <w:tab/>
        <w:t>Transferta e pakushtëzuar, që buxheti qendror ia transferon pushtetit vendor, përfshin fondet për përballimin e veprimtarive dhe të funksioneve që përcaktohen në aktet ligjore e nënligjore në fuqi. Transferta e pakushtëzuar e përgjithshme shpërndahet ndërmjet njësive të vetëqeverisjes vendore sipas formulës së paraqitur në aneksin 1, që i bashkëlidhet këtij ligji. Shuma e transfertës së pakushtëzuar për çdo njësi të vetëqeverisjes vendore paraqitet në tabelën 3, që i bashkëlidhet këtij ligji.</w:t>
      </w: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2.</w:t>
      </w:r>
      <w:r w:rsidRPr="00E77755">
        <w:rPr>
          <w:rFonts w:ascii="Times New Roman" w:hAnsi="Times New Roman" w:cs="Times New Roman"/>
          <w:color w:val="000000" w:themeColor="text1"/>
          <w:sz w:val="24"/>
          <w:szCs w:val="24"/>
        </w:rPr>
        <w:tab/>
        <w:t>Fondi rezervë nga totali i transfertës së pakushtëzuar të përgjithshme përdoret nga ministria përgjegjëse për financat, në përputhje me kriteret e përcaktuara në aneksin 2, që i bashkëlidhet këtij ligji. Fondet për programin buxhetor për infrastrukturën vendore dhe rajonale përdoren sipas aneksit 3, që i bashkëlidhet këtij ligji.</w:t>
      </w: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3.</w:t>
      </w:r>
      <w:r w:rsidRPr="00E77755">
        <w:rPr>
          <w:rFonts w:ascii="Times New Roman" w:hAnsi="Times New Roman" w:cs="Times New Roman"/>
          <w:color w:val="000000" w:themeColor="text1"/>
          <w:sz w:val="24"/>
          <w:szCs w:val="24"/>
        </w:rPr>
        <w:tab/>
        <w:t>Transferta e pakushtëzuar sektoriale për funksionet e transferuara në bashkitë shpërndahet sipas anekseve 1 dhe 4, që i bashkëlidhen këtij ligji.</w:t>
      </w: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4.</w:t>
      </w:r>
      <w:r w:rsidRPr="00E77755">
        <w:rPr>
          <w:rFonts w:ascii="Times New Roman" w:hAnsi="Times New Roman" w:cs="Times New Roman"/>
          <w:color w:val="000000" w:themeColor="text1"/>
          <w:sz w:val="24"/>
          <w:szCs w:val="24"/>
        </w:rPr>
        <w:tab/>
        <w:t xml:space="preserve">Personeli administrativ i këshillit të qarkut nuk </w:t>
      </w:r>
      <w:r w:rsidR="0052733B" w:rsidRPr="00E77755">
        <w:rPr>
          <w:rFonts w:ascii="Times New Roman" w:hAnsi="Times New Roman" w:cs="Times New Roman"/>
          <w:color w:val="000000" w:themeColor="text1"/>
          <w:sz w:val="24"/>
          <w:szCs w:val="24"/>
        </w:rPr>
        <w:t>mund të jetë më shumë se 10 punonjës</w:t>
      </w:r>
      <w:r w:rsidRPr="00E77755">
        <w:rPr>
          <w:rFonts w:ascii="Times New Roman" w:hAnsi="Times New Roman" w:cs="Times New Roman"/>
          <w:color w:val="000000" w:themeColor="text1"/>
          <w:sz w:val="24"/>
          <w:szCs w:val="24"/>
        </w:rPr>
        <w:t>.</w:t>
      </w: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5.</w:t>
      </w:r>
      <w:r w:rsidRPr="00E77755">
        <w:rPr>
          <w:rFonts w:ascii="Times New Roman" w:hAnsi="Times New Roman" w:cs="Times New Roman"/>
          <w:color w:val="000000" w:themeColor="text1"/>
          <w:sz w:val="24"/>
          <w:szCs w:val="24"/>
        </w:rPr>
        <w:tab/>
        <w:t>Fondet e trashëguara nga vitet e mëparshme përdoren nga njësitë e vetëqeverisjes vendore sipas rregullave të përcaktuara nga ministri përgjegjës për financat.</w:t>
      </w:r>
    </w:p>
    <w:p w:rsidR="00E71EE6" w:rsidRPr="00E77755" w:rsidRDefault="0052733B"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6.</w:t>
      </w:r>
      <w:r w:rsidRPr="00E77755">
        <w:rPr>
          <w:rFonts w:ascii="Times New Roman" w:hAnsi="Times New Roman" w:cs="Times New Roman"/>
          <w:color w:val="000000" w:themeColor="text1"/>
          <w:sz w:val="24"/>
          <w:szCs w:val="24"/>
        </w:rPr>
        <w:tab/>
        <w:t>Fondi për emergjencat civile në masën 800 milionë lekë</w:t>
      </w:r>
      <w:r w:rsidR="00E71EE6" w:rsidRPr="00E77755">
        <w:rPr>
          <w:rFonts w:ascii="Times New Roman" w:hAnsi="Times New Roman" w:cs="Times New Roman"/>
          <w:color w:val="000000" w:themeColor="text1"/>
          <w:sz w:val="24"/>
          <w:szCs w:val="24"/>
        </w:rPr>
        <w:t xml:space="preserve"> akordohet në programin “Emergjencat civile” të Ministrisë së Mbrojtjes dhe shpërndahet në formën e transfertës së kushtëzuar për njësitë e vetëqeverisjes vendore nga Ministria e Mbrojtjes në bashkëpunim me Ministrinë e Financave dhe Ekonomisë me një formulë, e cila bazohet në peshën specifike që zë buxheti i çdo bashkie ndaj totalit të buxhetit të të gjitha bashkive.  </w:t>
      </w: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7.</w:t>
      </w:r>
      <w:r w:rsidRPr="00E77755">
        <w:rPr>
          <w:rFonts w:ascii="Times New Roman" w:hAnsi="Times New Roman" w:cs="Times New Roman"/>
          <w:color w:val="000000" w:themeColor="text1"/>
          <w:sz w:val="24"/>
          <w:szCs w:val="24"/>
        </w:rPr>
        <w:tab/>
        <w:t>Fondi prej 1 000 milionë lekësh në zërin “</w:t>
      </w:r>
      <w:r w:rsidR="0052733B" w:rsidRPr="00E77755">
        <w:rPr>
          <w:rFonts w:ascii="Times New Roman" w:hAnsi="Times New Roman" w:cs="Times New Roman"/>
          <w:color w:val="000000" w:themeColor="text1"/>
          <w:sz w:val="24"/>
          <w:szCs w:val="24"/>
        </w:rPr>
        <w:t>Shpenzime kapitale”</w:t>
      </w:r>
      <w:r w:rsidRPr="00E77755">
        <w:rPr>
          <w:rFonts w:ascii="Times New Roman" w:hAnsi="Times New Roman" w:cs="Times New Roman"/>
          <w:color w:val="000000" w:themeColor="text1"/>
          <w:sz w:val="24"/>
          <w:szCs w:val="24"/>
        </w:rPr>
        <w:t xml:space="preserve"> në programin “Emergjencat civile” të Ministrisë së Mbrojtjes akordohet me vendim të Këshillit të Ministrave për financimin e projekteve që lidhen me parandalimin e fatkeqësive natyror</w:t>
      </w:r>
      <w:r w:rsidR="0052733B" w:rsidRPr="00E77755">
        <w:rPr>
          <w:rFonts w:ascii="Times New Roman" w:hAnsi="Times New Roman" w:cs="Times New Roman"/>
          <w:color w:val="000000" w:themeColor="text1"/>
          <w:sz w:val="24"/>
          <w:szCs w:val="24"/>
        </w:rPr>
        <w:t>e, sipas kritereve në aneksin 6,</w:t>
      </w:r>
      <w:r w:rsidRPr="00E77755">
        <w:rPr>
          <w:rFonts w:ascii="Times New Roman" w:hAnsi="Times New Roman" w:cs="Times New Roman"/>
          <w:color w:val="000000" w:themeColor="text1"/>
          <w:sz w:val="24"/>
          <w:szCs w:val="24"/>
        </w:rPr>
        <w:t xml:space="preserve"> që i bashkëlidhet këtij ligji. </w:t>
      </w: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8.</w:t>
      </w:r>
      <w:r w:rsidRPr="00E77755">
        <w:rPr>
          <w:rFonts w:ascii="Times New Roman" w:hAnsi="Times New Roman" w:cs="Times New Roman"/>
          <w:color w:val="000000" w:themeColor="text1"/>
          <w:sz w:val="24"/>
          <w:szCs w:val="24"/>
        </w:rPr>
        <w:tab/>
        <w:t>Fondi prej 500 milionë lekës</w:t>
      </w:r>
      <w:r w:rsidR="0052733B" w:rsidRPr="00E77755">
        <w:rPr>
          <w:rFonts w:ascii="Times New Roman" w:hAnsi="Times New Roman" w:cs="Times New Roman"/>
          <w:color w:val="000000" w:themeColor="text1"/>
          <w:sz w:val="24"/>
          <w:szCs w:val="24"/>
        </w:rPr>
        <w:t>h në zërin “Shpenzime kapitale”</w:t>
      </w:r>
      <w:r w:rsidRPr="00E77755">
        <w:rPr>
          <w:rFonts w:ascii="Times New Roman" w:hAnsi="Times New Roman" w:cs="Times New Roman"/>
          <w:color w:val="000000" w:themeColor="text1"/>
          <w:sz w:val="24"/>
          <w:szCs w:val="24"/>
        </w:rPr>
        <w:t xml:space="preserve"> në programin “Emergjencat civile” të Ministrisë së Mbrojtjes akordohet me vendim të Këshillit të Ministrave për financimin e projekteve që lidhen me digat, sipas kritereve në aneksin 7, që i bashkëlidhet këtij ligji. </w:t>
      </w: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9.</w:t>
      </w:r>
      <w:r w:rsidRPr="00E77755">
        <w:rPr>
          <w:rFonts w:ascii="Times New Roman" w:hAnsi="Times New Roman" w:cs="Times New Roman"/>
          <w:color w:val="000000" w:themeColor="text1"/>
          <w:sz w:val="24"/>
          <w:szCs w:val="24"/>
        </w:rPr>
        <w:tab/>
        <w:t>Fondi prej 200 milionë lekës</w:t>
      </w:r>
      <w:r w:rsidR="0052733B" w:rsidRPr="00E77755">
        <w:rPr>
          <w:rFonts w:ascii="Times New Roman" w:hAnsi="Times New Roman" w:cs="Times New Roman"/>
          <w:color w:val="000000" w:themeColor="text1"/>
          <w:sz w:val="24"/>
          <w:szCs w:val="24"/>
        </w:rPr>
        <w:t>h në zërin “Shpenzime kapitale”</w:t>
      </w:r>
      <w:r w:rsidRPr="00E77755">
        <w:rPr>
          <w:rFonts w:ascii="Times New Roman" w:hAnsi="Times New Roman" w:cs="Times New Roman"/>
          <w:color w:val="000000" w:themeColor="text1"/>
          <w:sz w:val="24"/>
          <w:szCs w:val="24"/>
        </w:rPr>
        <w:t xml:space="preserve"> në programin “Emergjencat civile” të Ministrisë së Mbrojtjes përdoret për eliminimin e pasojave në rastet e fatkeqësive natyrore, kur shpenzimi ka natyrën e investimit. Ky fond shpërndahet gjatë vitit buxhetor në bazë të kërkesës së njësisë së vetëqeverisjes vendore, sipas rasteve të ndodhjes së fatkeqësisë.</w:t>
      </w: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10.</w:t>
      </w:r>
      <w:r w:rsidRPr="00E77755">
        <w:rPr>
          <w:rFonts w:ascii="Times New Roman" w:hAnsi="Times New Roman" w:cs="Times New Roman"/>
          <w:color w:val="000000" w:themeColor="text1"/>
          <w:sz w:val="24"/>
          <w:szCs w:val="24"/>
        </w:rPr>
        <w:tab/>
        <w:t>Fondi për mbetjet ur</w:t>
      </w:r>
      <w:r w:rsidR="0052733B" w:rsidRPr="00E77755">
        <w:rPr>
          <w:rFonts w:ascii="Times New Roman" w:hAnsi="Times New Roman" w:cs="Times New Roman"/>
          <w:color w:val="000000" w:themeColor="text1"/>
          <w:sz w:val="24"/>
          <w:szCs w:val="24"/>
        </w:rPr>
        <w:t xml:space="preserve">bane, në masën </w:t>
      </w:r>
      <w:r w:rsidR="00CF5B1F" w:rsidRPr="00E77755">
        <w:rPr>
          <w:rFonts w:ascii="Times New Roman" w:hAnsi="Times New Roman" w:cs="Times New Roman"/>
          <w:color w:val="000000" w:themeColor="text1"/>
          <w:sz w:val="24"/>
          <w:szCs w:val="24"/>
        </w:rPr>
        <w:t>788</w:t>
      </w:r>
      <w:r w:rsidR="0052733B" w:rsidRPr="00E77755">
        <w:rPr>
          <w:rFonts w:ascii="Times New Roman" w:hAnsi="Times New Roman" w:cs="Times New Roman"/>
          <w:color w:val="000000" w:themeColor="text1"/>
          <w:sz w:val="24"/>
          <w:szCs w:val="24"/>
        </w:rPr>
        <w:t xml:space="preserve"> milionë lekë</w:t>
      </w:r>
      <w:r w:rsidRPr="00E77755">
        <w:rPr>
          <w:rFonts w:ascii="Times New Roman" w:hAnsi="Times New Roman" w:cs="Times New Roman"/>
          <w:color w:val="000000" w:themeColor="text1"/>
          <w:sz w:val="24"/>
          <w:szCs w:val="24"/>
        </w:rPr>
        <w:t xml:space="preserve"> akordohet si transfertë e pakushtëzuar sektoriale për njësitë e vetëqeverisjes vendore për mbetjet urbane në kolonën “Menaxhimi i mbetjeve u</w:t>
      </w:r>
      <w:r w:rsidR="0052733B" w:rsidRPr="00E77755">
        <w:rPr>
          <w:rFonts w:ascii="Times New Roman" w:hAnsi="Times New Roman" w:cs="Times New Roman"/>
          <w:color w:val="000000" w:themeColor="text1"/>
          <w:sz w:val="24"/>
          <w:szCs w:val="24"/>
        </w:rPr>
        <w:t>rbane” dhe përdoret/shpërndahet</w:t>
      </w:r>
      <w:r w:rsidRPr="00E77755">
        <w:rPr>
          <w:rFonts w:ascii="Times New Roman" w:hAnsi="Times New Roman" w:cs="Times New Roman"/>
          <w:color w:val="000000" w:themeColor="text1"/>
          <w:sz w:val="24"/>
          <w:szCs w:val="24"/>
        </w:rPr>
        <w:t xml:space="preserve"> në përputhje me kriteret e vendosura në aneksin 8, që i bashkëlidhet këtij ligji.</w:t>
      </w: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11.</w:t>
      </w:r>
      <w:r w:rsidRPr="00E77755">
        <w:rPr>
          <w:rFonts w:ascii="Times New Roman" w:hAnsi="Times New Roman" w:cs="Times New Roman"/>
          <w:color w:val="000000" w:themeColor="text1"/>
          <w:sz w:val="24"/>
          <w:szCs w:val="24"/>
        </w:rPr>
        <w:tab/>
        <w:t xml:space="preserve">Njësitë e vetëqeverisjes vendore aplikojnë për financim/bashkëfinancim për përmirësimin e infrastrukturës shkollore dhe asaj sportive pranë ministrisë përgjegjëse për arsimin dhe sportin. </w:t>
      </w:r>
      <w:r w:rsidRPr="00E77755">
        <w:rPr>
          <w:rFonts w:ascii="Times New Roman" w:hAnsi="Times New Roman" w:cs="Times New Roman"/>
          <w:color w:val="000000" w:themeColor="text1"/>
          <w:sz w:val="24"/>
          <w:szCs w:val="24"/>
        </w:rPr>
        <w:lastRenderedPageBreak/>
        <w:t>Ministri përgjegjës për arsimin dhe sportin nxjerr udhëzim për kriteret, procedurat, afatet për shpalljen e thirrjes dhe dokumentacionin e nevojshëm për aplikim nga njësitë e vetëqeverisjes vendore.</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3B717B">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16</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xml:space="preserve">1. </w:t>
      </w:r>
      <w:r w:rsidRPr="00E77755">
        <w:rPr>
          <w:rFonts w:ascii="Times New Roman" w:hAnsi="Times New Roman" w:cs="Times New Roman"/>
          <w:color w:val="000000" w:themeColor="text1"/>
          <w:sz w:val="24"/>
          <w:szCs w:val="24"/>
        </w:rPr>
        <w:tab/>
        <w:t>Fondet e buxhetit të shtetit për institucionet e arsimit të lartë shpërndahen në formën e grantit. Ky fond shpërndahet</w:t>
      </w:r>
      <w:r w:rsidR="003B717B" w:rsidRPr="00E77755">
        <w:rPr>
          <w:rFonts w:ascii="Times New Roman" w:hAnsi="Times New Roman" w:cs="Times New Roman"/>
          <w:color w:val="000000" w:themeColor="text1"/>
          <w:sz w:val="24"/>
          <w:szCs w:val="24"/>
        </w:rPr>
        <w:t xml:space="preserve"> sipas kategorive të mëposhtme:</w:t>
      </w:r>
    </w:p>
    <w:p w:rsidR="00E71EE6" w:rsidRPr="00E77755" w:rsidRDefault="003B717B"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a) g</w:t>
      </w:r>
      <w:r w:rsidR="00E71EE6" w:rsidRPr="00E77755">
        <w:rPr>
          <w:rFonts w:ascii="Times New Roman" w:hAnsi="Times New Roman" w:cs="Times New Roman"/>
          <w:color w:val="000000" w:themeColor="text1"/>
          <w:sz w:val="24"/>
          <w:szCs w:val="24"/>
        </w:rPr>
        <w:t>ranti i politikave të zhvillimit për institucionet publike të arsimit të lartë;</w:t>
      </w:r>
    </w:p>
    <w:p w:rsidR="00E71EE6" w:rsidRPr="00E77755" w:rsidRDefault="003B717B"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b) g</w:t>
      </w:r>
      <w:r w:rsidR="00E71EE6" w:rsidRPr="00E77755">
        <w:rPr>
          <w:rFonts w:ascii="Times New Roman" w:hAnsi="Times New Roman" w:cs="Times New Roman"/>
          <w:color w:val="000000" w:themeColor="text1"/>
          <w:sz w:val="24"/>
          <w:szCs w:val="24"/>
        </w:rPr>
        <w:t>ranti i mësimdhënies;</w:t>
      </w:r>
    </w:p>
    <w:p w:rsidR="00E71EE6" w:rsidRPr="00E77755" w:rsidRDefault="003B717B"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c) g</w:t>
      </w:r>
      <w:r w:rsidR="00E71EE6" w:rsidRPr="00E77755">
        <w:rPr>
          <w:rFonts w:ascii="Times New Roman" w:hAnsi="Times New Roman" w:cs="Times New Roman"/>
          <w:color w:val="000000" w:themeColor="text1"/>
          <w:sz w:val="24"/>
          <w:szCs w:val="24"/>
        </w:rPr>
        <w:t>ranti i punës kërkimore-shkencore dhe veprimtarive krijuese.</w:t>
      </w: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3.</w:t>
      </w:r>
      <w:r w:rsidRPr="00E77755">
        <w:rPr>
          <w:rFonts w:ascii="Times New Roman" w:hAnsi="Times New Roman" w:cs="Times New Roman"/>
          <w:color w:val="000000" w:themeColor="text1"/>
          <w:sz w:val="24"/>
          <w:szCs w:val="24"/>
        </w:rPr>
        <w:tab/>
        <w:t>Modeli i financimit për institucionet e arsimit të lartë dhe kërkimin shkencor miratohet me vendim të Këshillit të Ministrave. Kriteret për përdorimin e granteve të politikave të zhvillimit për institucionet publike të arsimit të lartë dhe granti i punës kërkimore-shkencore dhe veprimtarive krijuese janë përcaktuar në  nenet 111 dhe</w:t>
      </w:r>
      <w:r w:rsidR="0052733B" w:rsidRPr="00E77755">
        <w:rPr>
          <w:rFonts w:ascii="Times New Roman" w:hAnsi="Times New Roman" w:cs="Times New Roman"/>
          <w:color w:val="000000" w:themeColor="text1"/>
          <w:sz w:val="24"/>
          <w:szCs w:val="24"/>
        </w:rPr>
        <w:t xml:space="preserve"> 113 të ligjit nr. 80/2015</w:t>
      </w:r>
      <w:r w:rsidRPr="00E77755">
        <w:rPr>
          <w:rFonts w:ascii="Times New Roman" w:hAnsi="Times New Roman" w:cs="Times New Roman"/>
          <w:color w:val="000000" w:themeColor="text1"/>
          <w:sz w:val="24"/>
          <w:szCs w:val="24"/>
        </w:rPr>
        <w:t xml:space="preserve"> “Për arsimin e lartë dhe kërkimin shkencor në institucionet e arsimit të lartë në Republikën e Shqipërisë”.</w:t>
      </w: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4.</w:t>
      </w:r>
      <w:r w:rsidRPr="00E77755">
        <w:rPr>
          <w:rFonts w:ascii="Times New Roman" w:hAnsi="Times New Roman" w:cs="Times New Roman"/>
          <w:color w:val="000000" w:themeColor="text1"/>
          <w:sz w:val="24"/>
          <w:szCs w:val="24"/>
        </w:rPr>
        <w:tab/>
        <w:t xml:space="preserve">Fondi i projekteve konkurruese për zhvillimin e institucioneve të arsimit të lartë mund të shpërndahet edhe te njësitë e vetëqeverisjes vendore në ato raste kur me vendim të Këshillit të Ministrave ato përcaktohen autoritete kontraktore për realizimin e procedurave të prokurimit për studim-projektimin apo zbatimin e projektit për një ose disa institucione të arsimit </w:t>
      </w:r>
      <w:r w:rsidR="00B93CCD" w:rsidRPr="00E77755">
        <w:rPr>
          <w:rFonts w:ascii="Times New Roman" w:hAnsi="Times New Roman" w:cs="Times New Roman"/>
          <w:color w:val="000000" w:themeColor="text1"/>
          <w:sz w:val="24"/>
          <w:szCs w:val="24"/>
        </w:rPr>
        <w:t>të lartë. Në këto raste</w:t>
      </w:r>
      <w:r w:rsidRPr="00E77755">
        <w:rPr>
          <w:rFonts w:ascii="Times New Roman" w:hAnsi="Times New Roman" w:cs="Times New Roman"/>
          <w:color w:val="000000" w:themeColor="text1"/>
          <w:sz w:val="24"/>
          <w:szCs w:val="24"/>
        </w:rPr>
        <w:t xml:space="preserve"> çelja e fondit nga ministria përgjegjëse për financat bëhet pas paraqitjes së kërkesës nga  njësia e vetëqeverisjes vendore përmes ministrisë përgjegjëse për arsimin.</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3B717B">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17</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Kufiri</w:t>
      </w:r>
      <w:r w:rsidR="00B93CCD" w:rsidRPr="00E77755">
        <w:rPr>
          <w:rFonts w:ascii="Times New Roman" w:hAnsi="Times New Roman" w:cs="Times New Roman"/>
          <w:color w:val="000000" w:themeColor="text1"/>
          <w:sz w:val="24"/>
          <w:szCs w:val="24"/>
        </w:rPr>
        <w:t xml:space="preserve"> i shpenzimeve, sipas tabelës l</w:t>
      </w:r>
      <w:r w:rsidRPr="00E77755">
        <w:rPr>
          <w:rFonts w:ascii="Times New Roman" w:hAnsi="Times New Roman" w:cs="Times New Roman"/>
          <w:color w:val="000000" w:themeColor="text1"/>
          <w:sz w:val="24"/>
          <w:szCs w:val="24"/>
        </w:rPr>
        <w:t xml:space="preserve"> që përmendet në</w:t>
      </w:r>
      <w:r w:rsidR="00B93CCD" w:rsidRPr="00E77755">
        <w:rPr>
          <w:rFonts w:ascii="Times New Roman" w:hAnsi="Times New Roman" w:cs="Times New Roman"/>
          <w:color w:val="000000" w:themeColor="text1"/>
          <w:sz w:val="24"/>
          <w:szCs w:val="24"/>
        </w:rPr>
        <w:t xml:space="preserve"> nenin 11</w:t>
      </w:r>
      <w:r w:rsidRPr="00E77755">
        <w:rPr>
          <w:rFonts w:ascii="Times New Roman" w:hAnsi="Times New Roman" w:cs="Times New Roman"/>
          <w:color w:val="000000" w:themeColor="text1"/>
          <w:sz w:val="24"/>
          <w:szCs w:val="24"/>
        </w:rPr>
        <w:t xml:space="preserve"> të këtij ligji, mund të rishpërndahet gjatë vitit ndërmjet programeve brenda të njëjtit institucion buxhetor apo ndërmjet programeve të institucioneve të ndryshme nga Këshilli i Ministrave deri në masën 10 për qind të shumës së përgjithshme të shpenzimeve  korrente apo shpenzimeve të përgjithshme kapitale, duke ruajtur totalin e shpenzimeve korrente dhe kapitale. Të drejtat e pë</w:t>
      </w:r>
      <w:r w:rsidR="00B93CCD" w:rsidRPr="00E77755">
        <w:rPr>
          <w:rFonts w:ascii="Times New Roman" w:hAnsi="Times New Roman" w:cs="Times New Roman"/>
          <w:color w:val="000000" w:themeColor="text1"/>
          <w:sz w:val="24"/>
          <w:szCs w:val="24"/>
        </w:rPr>
        <w:t>rcaktuara në nenin 44 të</w:t>
      </w:r>
      <w:r w:rsidRPr="00E77755">
        <w:rPr>
          <w:rFonts w:ascii="Times New Roman" w:hAnsi="Times New Roman" w:cs="Times New Roman"/>
          <w:color w:val="000000" w:themeColor="text1"/>
          <w:sz w:val="24"/>
          <w:szCs w:val="24"/>
        </w:rPr>
        <w:t xml:space="preserve"> ligjit nr.</w:t>
      </w:r>
      <w:r w:rsidR="00B93CCD" w:rsidRPr="00E77755">
        <w:rPr>
          <w:rFonts w:ascii="Times New Roman" w:hAnsi="Times New Roman" w:cs="Times New Roman"/>
          <w:color w:val="000000" w:themeColor="text1"/>
          <w:sz w:val="24"/>
          <w:szCs w:val="24"/>
        </w:rPr>
        <w:t xml:space="preserve"> </w:t>
      </w:r>
      <w:r w:rsidR="00001183" w:rsidRPr="00E77755">
        <w:rPr>
          <w:rFonts w:ascii="Times New Roman" w:hAnsi="Times New Roman" w:cs="Times New Roman"/>
          <w:color w:val="000000" w:themeColor="text1"/>
          <w:sz w:val="24"/>
          <w:szCs w:val="24"/>
        </w:rPr>
        <w:t>9936</w:t>
      </w:r>
      <w:r w:rsidRPr="00E77755">
        <w:rPr>
          <w:rFonts w:ascii="Times New Roman" w:hAnsi="Times New Roman" w:cs="Times New Roman"/>
          <w:color w:val="000000" w:themeColor="text1"/>
          <w:sz w:val="24"/>
          <w:szCs w:val="24"/>
        </w:rPr>
        <w:t xml:space="preserve">, datë 26.6.2008, “Për menaxhimin e sistemit buxhetor në Republikën e Shqipërisë”, tё ndryshuar, për rishpërndarjen e fondeve buxhetore përcaktojnë treguesit e faktit në tabelat 1 </w:t>
      </w:r>
      <w:r w:rsidR="00B93CCD" w:rsidRPr="00E77755">
        <w:rPr>
          <w:rFonts w:ascii="Times New Roman" w:hAnsi="Times New Roman" w:cs="Times New Roman"/>
          <w:color w:val="000000" w:themeColor="text1"/>
          <w:sz w:val="24"/>
          <w:szCs w:val="24"/>
        </w:rPr>
        <w:t>dhe 4, që përmenden në nenin 11</w:t>
      </w:r>
      <w:r w:rsidRPr="00E77755">
        <w:rPr>
          <w:rFonts w:ascii="Times New Roman" w:hAnsi="Times New Roman" w:cs="Times New Roman"/>
          <w:color w:val="000000" w:themeColor="text1"/>
          <w:sz w:val="24"/>
          <w:szCs w:val="24"/>
        </w:rPr>
        <w:t xml:space="preserve"> të këtij ligji.</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3B717B">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18</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Tavani për vlerën totale të kontratave në përqindje të PBB-së për të gjitha projektet koncesionare/PPP-të ekzistuese dhe ato të kontraktuara rishtazi për vitin 2023, në përputhje me të dhënat e regjistrit të koncesioneve, ës</w:t>
      </w:r>
      <w:r w:rsidR="003B717B" w:rsidRPr="00E77755">
        <w:rPr>
          <w:rFonts w:ascii="Times New Roman" w:hAnsi="Times New Roman" w:cs="Times New Roman"/>
          <w:color w:val="000000" w:themeColor="text1"/>
          <w:sz w:val="24"/>
          <w:szCs w:val="24"/>
        </w:rPr>
        <w:t xml:space="preserve">htë 30.6% e </w:t>
      </w:r>
      <w:r w:rsidRPr="00E77755">
        <w:rPr>
          <w:rFonts w:ascii="Times New Roman" w:hAnsi="Times New Roman" w:cs="Times New Roman"/>
          <w:color w:val="000000" w:themeColor="text1"/>
          <w:sz w:val="24"/>
          <w:szCs w:val="24"/>
        </w:rPr>
        <w:t>PBB-sё. Çdo kontratë e re ndjek procedurat dhe rregullat e legjislacionit në fuqi për koncesionet/PPP-të.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3B717B">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19</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xml:space="preserve">1. </w:t>
      </w:r>
      <w:r w:rsidRPr="00E77755">
        <w:rPr>
          <w:rFonts w:ascii="Times New Roman" w:hAnsi="Times New Roman" w:cs="Times New Roman"/>
          <w:color w:val="000000" w:themeColor="text1"/>
          <w:sz w:val="24"/>
          <w:szCs w:val="24"/>
        </w:rPr>
        <w:tab/>
        <w:t>Kufiri për rritjen vjetore të totalit ekzistues të stokut të borxhit të qeverisjes qendrore dhe atij të garantuar të qeverisjes qendrore në dobi të palëve të treta përfituese për vitin 2024, pa përfshirë efektet e mundshme prej ndryshimit të kursit të këmbimit, është deri në 33 792 milionë lekë, i dhën</w:t>
      </w:r>
      <w:r w:rsidR="00F82C33" w:rsidRPr="00E77755">
        <w:rPr>
          <w:rFonts w:ascii="Times New Roman" w:hAnsi="Times New Roman" w:cs="Times New Roman"/>
          <w:color w:val="000000" w:themeColor="text1"/>
          <w:sz w:val="24"/>
          <w:szCs w:val="24"/>
        </w:rPr>
        <w:t>ë me hollësi</w:t>
      </w:r>
      <w:r w:rsidR="003B717B" w:rsidRPr="00E77755">
        <w:rPr>
          <w:rFonts w:ascii="Times New Roman" w:hAnsi="Times New Roman" w:cs="Times New Roman"/>
          <w:color w:val="000000" w:themeColor="text1"/>
          <w:sz w:val="24"/>
          <w:szCs w:val="24"/>
        </w:rPr>
        <w:t xml:space="preserve"> si më poshtë</w:t>
      </w:r>
      <w:r w:rsidRPr="00E77755">
        <w:rPr>
          <w:rFonts w:ascii="Times New Roman" w:hAnsi="Times New Roman" w:cs="Times New Roman"/>
          <w:color w:val="000000" w:themeColor="text1"/>
          <w:sz w:val="24"/>
          <w:szCs w:val="24"/>
        </w:rPr>
        <w:t>:</w:t>
      </w:r>
    </w:p>
    <w:p w:rsidR="00E71EE6" w:rsidRPr="00E77755" w:rsidRDefault="001D0184"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a) p</w:t>
      </w:r>
      <w:r w:rsidR="00E71EE6" w:rsidRPr="00E77755">
        <w:rPr>
          <w:rFonts w:ascii="Times New Roman" w:hAnsi="Times New Roman" w:cs="Times New Roman"/>
          <w:color w:val="000000" w:themeColor="text1"/>
          <w:sz w:val="24"/>
          <w:szCs w:val="24"/>
        </w:rPr>
        <w:t xml:space="preserve">ër rritjen vjetore të borxhit të qeverisjes qendrore deri në 34 455 milionë lekë; </w:t>
      </w:r>
    </w:p>
    <w:p w:rsidR="00E71EE6" w:rsidRPr="00E77755" w:rsidRDefault="001D0184"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b) p</w:t>
      </w:r>
      <w:r w:rsidR="00E71EE6" w:rsidRPr="00E77755">
        <w:rPr>
          <w:rFonts w:ascii="Times New Roman" w:hAnsi="Times New Roman" w:cs="Times New Roman"/>
          <w:color w:val="000000" w:themeColor="text1"/>
          <w:sz w:val="24"/>
          <w:szCs w:val="24"/>
        </w:rPr>
        <w:t>ër rritjen vjetore të garancive të qeverisjes qendrore në dobi të palëve të treta përfituese deri në (minus) 663 milionë lekë.</w:t>
      </w:r>
    </w:p>
    <w:p w:rsidR="00E71EE6" w:rsidRPr="00E77755" w:rsidRDefault="00E71EE6"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2.</w:t>
      </w:r>
      <w:r w:rsidRPr="00E77755">
        <w:rPr>
          <w:rFonts w:ascii="Times New Roman" w:hAnsi="Times New Roman" w:cs="Times New Roman"/>
          <w:color w:val="000000" w:themeColor="text1"/>
          <w:sz w:val="24"/>
          <w:szCs w:val="24"/>
        </w:rPr>
        <w:tab/>
        <w:t xml:space="preserve">Stoku i borxhit publik vlerësohet të arrijë në 1 454 516 milionë lekë, pa përfshirë efektet e mundshme prej ndryshimit të kursit </w:t>
      </w:r>
      <w:r w:rsidR="00F82C33" w:rsidRPr="00E77755">
        <w:rPr>
          <w:rFonts w:ascii="Times New Roman" w:hAnsi="Times New Roman" w:cs="Times New Roman"/>
          <w:color w:val="000000" w:themeColor="text1"/>
          <w:sz w:val="24"/>
          <w:szCs w:val="24"/>
        </w:rPr>
        <w:t>të këmbimit, i dhënë me hollësi</w:t>
      </w:r>
      <w:r w:rsidRPr="00E77755">
        <w:rPr>
          <w:rFonts w:ascii="Times New Roman" w:hAnsi="Times New Roman" w:cs="Times New Roman"/>
          <w:color w:val="000000" w:themeColor="text1"/>
          <w:sz w:val="24"/>
          <w:szCs w:val="24"/>
        </w:rPr>
        <w:t xml:space="preserve"> si më poshtë:</w:t>
      </w:r>
    </w:p>
    <w:p w:rsidR="00E71EE6" w:rsidRPr="00E77755" w:rsidRDefault="001D0184"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lastRenderedPageBreak/>
        <w:t>a)</w:t>
      </w:r>
      <w:r w:rsidR="00E71EE6" w:rsidRPr="00E77755">
        <w:rPr>
          <w:rFonts w:ascii="Times New Roman" w:hAnsi="Times New Roman" w:cs="Times New Roman"/>
          <w:color w:val="000000" w:themeColor="text1"/>
          <w:sz w:val="24"/>
          <w:szCs w:val="24"/>
        </w:rPr>
        <w:t xml:space="preserve"> </w:t>
      </w:r>
      <w:r w:rsidRPr="00E77755">
        <w:rPr>
          <w:rFonts w:ascii="Times New Roman" w:hAnsi="Times New Roman" w:cs="Times New Roman"/>
          <w:color w:val="000000" w:themeColor="text1"/>
          <w:sz w:val="24"/>
          <w:szCs w:val="24"/>
        </w:rPr>
        <w:t>s</w:t>
      </w:r>
      <w:r w:rsidR="00E71EE6" w:rsidRPr="00E77755">
        <w:rPr>
          <w:rFonts w:ascii="Times New Roman" w:hAnsi="Times New Roman" w:cs="Times New Roman"/>
          <w:color w:val="000000" w:themeColor="text1"/>
          <w:sz w:val="24"/>
          <w:szCs w:val="24"/>
        </w:rPr>
        <w:t>toku i borxhit të qeverisjes qendrore 1 407 816 milionë lekë;</w:t>
      </w:r>
    </w:p>
    <w:p w:rsidR="00E71EE6" w:rsidRPr="00E77755" w:rsidRDefault="001D0184"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b) s</w:t>
      </w:r>
      <w:r w:rsidR="00E71EE6" w:rsidRPr="00E77755">
        <w:rPr>
          <w:rFonts w:ascii="Times New Roman" w:hAnsi="Times New Roman" w:cs="Times New Roman"/>
          <w:color w:val="000000" w:themeColor="text1"/>
          <w:sz w:val="24"/>
          <w:szCs w:val="24"/>
        </w:rPr>
        <w:t>toku i borxhit të garantu</w:t>
      </w:r>
      <w:r w:rsidR="007C57D8" w:rsidRPr="00E77755">
        <w:rPr>
          <w:rFonts w:ascii="Times New Roman" w:hAnsi="Times New Roman" w:cs="Times New Roman"/>
          <w:color w:val="000000" w:themeColor="text1"/>
          <w:sz w:val="24"/>
          <w:szCs w:val="24"/>
        </w:rPr>
        <w:t>a</w:t>
      </w:r>
      <w:r w:rsidR="00E71EE6" w:rsidRPr="00E77755">
        <w:rPr>
          <w:rFonts w:ascii="Times New Roman" w:hAnsi="Times New Roman" w:cs="Times New Roman"/>
          <w:color w:val="000000" w:themeColor="text1"/>
          <w:sz w:val="24"/>
          <w:szCs w:val="24"/>
        </w:rPr>
        <w:t>r nga qeverisja qendrore 45 800 milionë lekë;</w:t>
      </w:r>
    </w:p>
    <w:p w:rsidR="00E71EE6" w:rsidRPr="00E77755" w:rsidRDefault="001D0184" w:rsidP="003B717B">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c)</w:t>
      </w:r>
      <w:r w:rsidR="00E71EE6" w:rsidRPr="00E77755">
        <w:rPr>
          <w:rFonts w:ascii="Times New Roman" w:hAnsi="Times New Roman" w:cs="Times New Roman"/>
          <w:color w:val="000000" w:themeColor="text1"/>
          <w:sz w:val="24"/>
          <w:szCs w:val="24"/>
        </w:rPr>
        <w:t xml:space="preserve"> </w:t>
      </w:r>
      <w:r w:rsidRPr="00E77755">
        <w:rPr>
          <w:rFonts w:ascii="Times New Roman" w:hAnsi="Times New Roman" w:cs="Times New Roman"/>
          <w:color w:val="000000" w:themeColor="text1"/>
          <w:sz w:val="24"/>
          <w:szCs w:val="24"/>
        </w:rPr>
        <w:t>s</w:t>
      </w:r>
      <w:r w:rsidR="00E71EE6" w:rsidRPr="00E77755">
        <w:rPr>
          <w:rFonts w:ascii="Times New Roman" w:hAnsi="Times New Roman" w:cs="Times New Roman"/>
          <w:color w:val="000000" w:themeColor="text1"/>
          <w:sz w:val="24"/>
          <w:szCs w:val="24"/>
        </w:rPr>
        <w:t xml:space="preserve">toku i borxhit të </w:t>
      </w:r>
      <w:r w:rsidRPr="00E77755">
        <w:rPr>
          <w:rFonts w:ascii="Times New Roman" w:hAnsi="Times New Roman" w:cs="Times New Roman"/>
          <w:color w:val="000000" w:themeColor="text1"/>
          <w:sz w:val="24"/>
          <w:szCs w:val="24"/>
        </w:rPr>
        <w:t>vetë</w:t>
      </w:r>
      <w:r w:rsidR="00E71EE6" w:rsidRPr="00E77755">
        <w:rPr>
          <w:rFonts w:ascii="Times New Roman" w:hAnsi="Times New Roman" w:cs="Times New Roman"/>
          <w:color w:val="000000" w:themeColor="text1"/>
          <w:sz w:val="24"/>
          <w:szCs w:val="24"/>
        </w:rPr>
        <w:t>qeverisjes vendore 900 milionë lekë.</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F700E5">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20</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F700E5">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xml:space="preserve">1. </w:t>
      </w:r>
      <w:r w:rsidRPr="00E77755">
        <w:rPr>
          <w:rFonts w:ascii="Times New Roman" w:hAnsi="Times New Roman" w:cs="Times New Roman"/>
          <w:color w:val="000000" w:themeColor="text1"/>
          <w:sz w:val="24"/>
          <w:szCs w:val="24"/>
        </w:rPr>
        <w:tab/>
        <w:t xml:space="preserve">Në rast të avancimit në kohë me emetimin përgjatë vitit buxhetor 2024 të një </w:t>
      </w:r>
      <w:r w:rsidR="005C2215" w:rsidRPr="00E77755">
        <w:rPr>
          <w:rFonts w:ascii="Times New Roman" w:hAnsi="Times New Roman" w:cs="Times New Roman"/>
          <w:color w:val="000000" w:themeColor="text1"/>
          <w:sz w:val="24"/>
          <w:szCs w:val="24"/>
        </w:rPr>
        <w:t>e</w:t>
      </w:r>
      <w:r w:rsidRPr="00E77755">
        <w:rPr>
          <w:rFonts w:ascii="Times New Roman" w:hAnsi="Times New Roman" w:cs="Times New Roman"/>
          <w:color w:val="000000" w:themeColor="text1"/>
          <w:sz w:val="24"/>
          <w:szCs w:val="24"/>
        </w:rPr>
        <w:t>urobondi të ri, i cili është parashikuar në vitin buxhetor 2025, në rast të disbursimit të ndonjë kredie shtesë në formën e “mbështetjes buxhetore” nga institucionet financiare ndërkombëtare</w:t>
      </w:r>
      <w:r w:rsidR="005C2215" w:rsidRPr="00E77755">
        <w:rPr>
          <w:rFonts w:ascii="Times New Roman" w:hAnsi="Times New Roman" w:cs="Times New Roman"/>
          <w:color w:val="000000" w:themeColor="text1"/>
          <w:sz w:val="24"/>
          <w:szCs w:val="24"/>
        </w:rPr>
        <w:t>,</w:t>
      </w:r>
      <w:r w:rsidRPr="00E77755">
        <w:rPr>
          <w:rFonts w:ascii="Times New Roman" w:hAnsi="Times New Roman" w:cs="Times New Roman"/>
          <w:color w:val="000000" w:themeColor="text1"/>
          <w:sz w:val="24"/>
          <w:szCs w:val="24"/>
        </w:rPr>
        <w:t xml:space="preserve"> si dhe në rast të përdorimit të fondeve të përfituara nga alokimi i të drejtave të tërheqjes speciale prej Fondit Monetar Ndërkombëtar, kufijtë përkatës për huamarrjen totale neto, rritjen vjetore të borxhit të qeverisjes qendrore dhe nivelin e vlerësuar të stokut total të borxhit publik, t</w:t>
      </w:r>
      <w:r w:rsidR="005C2215" w:rsidRPr="00E77755">
        <w:rPr>
          <w:rFonts w:ascii="Times New Roman" w:hAnsi="Times New Roman" w:cs="Times New Roman"/>
          <w:color w:val="000000" w:themeColor="text1"/>
          <w:sz w:val="24"/>
          <w:szCs w:val="24"/>
        </w:rPr>
        <w:t>ë përcaktuar në nenet 10 dhe 19</w:t>
      </w:r>
      <w:r w:rsidRPr="00E77755">
        <w:rPr>
          <w:rFonts w:ascii="Times New Roman" w:hAnsi="Times New Roman" w:cs="Times New Roman"/>
          <w:color w:val="000000" w:themeColor="text1"/>
          <w:sz w:val="24"/>
          <w:szCs w:val="24"/>
        </w:rPr>
        <w:t xml:space="preserve"> të këtij ligji, mund të tejkalohen deri </w:t>
      </w:r>
      <w:r w:rsidR="005C2215" w:rsidRPr="00E77755">
        <w:rPr>
          <w:rFonts w:ascii="Times New Roman" w:hAnsi="Times New Roman" w:cs="Times New Roman"/>
          <w:color w:val="000000" w:themeColor="text1"/>
          <w:sz w:val="24"/>
          <w:szCs w:val="24"/>
        </w:rPr>
        <w:t>në</w:t>
      </w:r>
      <w:r w:rsidRPr="00E77755">
        <w:rPr>
          <w:rFonts w:ascii="Times New Roman" w:hAnsi="Times New Roman" w:cs="Times New Roman"/>
          <w:color w:val="000000" w:themeColor="text1"/>
          <w:sz w:val="24"/>
          <w:szCs w:val="24"/>
        </w:rPr>
        <w:t xml:space="preserve"> shum</w:t>
      </w:r>
      <w:r w:rsidR="005C2215" w:rsidRPr="00E77755">
        <w:rPr>
          <w:rFonts w:ascii="Times New Roman" w:hAnsi="Times New Roman" w:cs="Times New Roman"/>
          <w:color w:val="000000" w:themeColor="text1"/>
          <w:sz w:val="24"/>
          <w:szCs w:val="24"/>
        </w:rPr>
        <w:t>ën</w:t>
      </w:r>
      <w:r w:rsidRPr="00E77755">
        <w:rPr>
          <w:rFonts w:ascii="Times New Roman" w:hAnsi="Times New Roman" w:cs="Times New Roman"/>
          <w:color w:val="000000" w:themeColor="text1"/>
          <w:sz w:val="24"/>
          <w:szCs w:val="24"/>
        </w:rPr>
        <w:t xml:space="preserve"> e vlerave të përmendura më poshtë:</w:t>
      </w:r>
    </w:p>
    <w:p w:rsidR="00E71EE6" w:rsidRPr="00E77755" w:rsidRDefault="005C2215" w:rsidP="00F700E5">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a) v</w:t>
      </w:r>
      <w:r w:rsidR="00E71EE6" w:rsidRPr="00E77755">
        <w:rPr>
          <w:rFonts w:ascii="Times New Roman" w:hAnsi="Times New Roman" w:cs="Times New Roman"/>
          <w:color w:val="000000" w:themeColor="text1"/>
          <w:sz w:val="24"/>
          <w:szCs w:val="24"/>
        </w:rPr>
        <w:t xml:space="preserve">lera e </w:t>
      </w:r>
      <w:r w:rsidRPr="00E77755">
        <w:rPr>
          <w:rFonts w:ascii="Times New Roman" w:hAnsi="Times New Roman" w:cs="Times New Roman"/>
          <w:color w:val="000000" w:themeColor="text1"/>
          <w:sz w:val="24"/>
          <w:szCs w:val="24"/>
        </w:rPr>
        <w:t>e</w:t>
      </w:r>
      <w:r w:rsidR="00E71EE6" w:rsidRPr="00E77755">
        <w:rPr>
          <w:rFonts w:ascii="Times New Roman" w:hAnsi="Times New Roman" w:cs="Times New Roman"/>
          <w:color w:val="000000" w:themeColor="text1"/>
          <w:sz w:val="24"/>
          <w:szCs w:val="24"/>
        </w:rPr>
        <w:t>urobondit të emetuar në avancë</w:t>
      </w:r>
      <w:r w:rsidRPr="00E77755">
        <w:rPr>
          <w:rFonts w:ascii="Times New Roman" w:hAnsi="Times New Roman" w:cs="Times New Roman"/>
          <w:color w:val="000000" w:themeColor="text1"/>
          <w:sz w:val="24"/>
          <w:szCs w:val="24"/>
        </w:rPr>
        <w:t>;</w:t>
      </w:r>
    </w:p>
    <w:p w:rsidR="00E71EE6" w:rsidRPr="00E77755" w:rsidRDefault="005C2215" w:rsidP="00F700E5">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b) v</w:t>
      </w:r>
      <w:r w:rsidR="00E71EE6" w:rsidRPr="00E77755">
        <w:rPr>
          <w:rFonts w:ascii="Times New Roman" w:hAnsi="Times New Roman" w:cs="Times New Roman"/>
          <w:color w:val="000000" w:themeColor="text1"/>
          <w:sz w:val="24"/>
          <w:szCs w:val="24"/>
        </w:rPr>
        <w:t>lera e kredisë në formën e “mbështetjes buxhetore” të disbursuar</w:t>
      </w:r>
      <w:r w:rsidRPr="00E77755">
        <w:rPr>
          <w:rFonts w:ascii="Times New Roman" w:hAnsi="Times New Roman" w:cs="Times New Roman"/>
          <w:color w:val="000000" w:themeColor="text1"/>
          <w:sz w:val="24"/>
          <w:szCs w:val="24"/>
        </w:rPr>
        <w:t>;</w:t>
      </w:r>
    </w:p>
    <w:p w:rsidR="00E71EE6" w:rsidRPr="00E77755" w:rsidRDefault="005C2215" w:rsidP="00F700E5">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c) v</w:t>
      </w:r>
      <w:r w:rsidR="00E71EE6" w:rsidRPr="00E77755">
        <w:rPr>
          <w:rFonts w:ascii="Times New Roman" w:hAnsi="Times New Roman" w:cs="Times New Roman"/>
          <w:color w:val="000000" w:themeColor="text1"/>
          <w:sz w:val="24"/>
          <w:szCs w:val="24"/>
        </w:rPr>
        <w:t>lera e përdorimit të fondeve të përfituara nga alokimi i të drejtave të tërheqjes speciale prej Fondit Monetar Ndërkombëtar.</w:t>
      </w:r>
    </w:p>
    <w:p w:rsidR="00E71EE6" w:rsidRPr="00E77755" w:rsidRDefault="00E71EE6" w:rsidP="00F700E5">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2.  Niveli i deficitit të buxhetit të vitit 2024 mbetet i pandryshuar sipas përcaktimit në nenin 1 të këtij ligji.</w:t>
      </w:r>
    </w:p>
    <w:p w:rsidR="00E71EE6" w:rsidRPr="00E77755" w:rsidRDefault="00E71EE6" w:rsidP="00F700E5">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3.</w:t>
      </w:r>
      <w:r w:rsidRPr="00E77755">
        <w:rPr>
          <w:rFonts w:ascii="Times New Roman" w:hAnsi="Times New Roman" w:cs="Times New Roman"/>
          <w:color w:val="000000" w:themeColor="text1"/>
          <w:sz w:val="24"/>
          <w:szCs w:val="24"/>
        </w:rPr>
        <w:tab/>
        <w:t>Këshilli i Ministrave mund të akumulojë dhe mund të mbajë në llogarinë unike të Këshillit të Ministrave në Bankën e Shqipërisë çdo gjendje shtesë të likuiditetit që mund të krijohet dhe të mbartet për të financuar buxhetet e viteve buxhetore pasardhëse, por, në mbyllje të vitit buxhetor, gjendja e akumuluar nuk duhet të kalojë vlerën mesatare prej dy muajsh kumulativë të shpenzimeve buxhetore të planifikuara për atë vit buxhetor.</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F700E5">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21</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Ngarkohet ministri përgjegjës për financat të nxjerrë udhëzime për zbatimin e  këtij ligji.</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F700E5">
      <w:pPr>
        <w:spacing w:after="0" w:line="240" w:lineRule="auto"/>
        <w:jc w:val="center"/>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Neni 22</w:t>
      </w:r>
    </w:p>
    <w:p w:rsidR="00E71EE6" w:rsidRPr="00E77755" w:rsidRDefault="00E71EE6" w:rsidP="00E71EE6">
      <w:pPr>
        <w:spacing w:after="0" w:line="240" w:lineRule="auto"/>
        <w:jc w:val="both"/>
        <w:rPr>
          <w:rFonts w:ascii="Times New Roman" w:hAnsi="Times New Roman" w:cs="Times New Roman"/>
          <w:color w:val="000000" w:themeColor="text1"/>
          <w:sz w:val="24"/>
          <w:szCs w:val="24"/>
        </w:rPr>
      </w:pPr>
    </w:p>
    <w:p w:rsidR="00E71EE6" w:rsidRPr="00E77755" w:rsidRDefault="00E71EE6" w:rsidP="00F700E5">
      <w:pPr>
        <w:spacing w:after="0" w:line="240" w:lineRule="auto"/>
        <w:ind w:firstLine="340"/>
        <w:jc w:val="both"/>
        <w:rPr>
          <w:rFonts w:ascii="Times New Roman" w:hAnsi="Times New Roman" w:cs="Times New Roman"/>
          <w:color w:val="000000" w:themeColor="text1"/>
          <w:sz w:val="24"/>
          <w:szCs w:val="24"/>
        </w:rPr>
      </w:pPr>
      <w:r w:rsidRPr="00E77755">
        <w:rPr>
          <w:rFonts w:ascii="Times New Roman" w:hAnsi="Times New Roman" w:cs="Times New Roman"/>
          <w:color w:val="000000" w:themeColor="text1"/>
          <w:sz w:val="24"/>
          <w:szCs w:val="24"/>
        </w:rPr>
        <w:t xml:space="preserve">Ky ligj hyn </w:t>
      </w:r>
      <w:r w:rsidR="00F700E5" w:rsidRPr="00E77755">
        <w:rPr>
          <w:rFonts w:ascii="Times New Roman" w:hAnsi="Times New Roman" w:cs="Times New Roman"/>
          <w:color w:val="000000" w:themeColor="text1"/>
          <w:sz w:val="24"/>
          <w:szCs w:val="24"/>
        </w:rPr>
        <w:t>në fuqi 15 ditë pas botimit në Fletoren Zyrtare</w:t>
      </w:r>
      <w:r w:rsidRPr="00E77755">
        <w:rPr>
          <w:rFonts w:ascii="Times New Roman" w:hAnsi="Times New Roman" w:cs="Times New Roman"/>
          <w:color w:val="000000" w:themeColor="text1"/>
          <w:sz w:val="24"/>
          <w:szCs w:val="24"/>
        </w:rPr>
        <w:t xml:space="preserve"> dhe i shtrin efektet financiare nga data 1 janar 2024.</w:t>
      </w:r>
    </w:p>
    <w:p w:rsidR="00E71EE6" w:rsidRPr="00E77755" w:rsidRDefault="00E71EE6" w:rsidP="00E71EE6">
      <w:pPr>
        <w:spacing w:after="0" w:line="240" w:lineRule="auto"/>
        <w:jc w:val="both"/>
        <w:rPr>
          <w:rFonts w:ascii="Times New Roman" w:hAnsi="Times New Roman" w:cs="Times New Roman"/>
          <w:b/>
          <w:color w:val="000000" w:themeColor="text1"/>
          <w:sz w:val="24"/>
          <w:szCs w:val="24"/>
        </w:rPr>
      </w:pPr>
      <w:r w:rsidRPr="00E77755">
        <w:rPr>
          <w:rFonts w:ascii="Times New Roman" w:hAnsi="Times New Roman" w:cs="Times New Roman"/>
          <w:b/>
          <w:color w:val="000000" w:themeColor="text1"/>
          <w:sz w:val="24"/>
          <w:szCs w:val="24"/>
        </w:rPr>
        <w:t xml:space="preserve">                                                                                                 </w:t>
      </w:r>
    </w:p>
    <w:p w:rsidR="00F90923" w:rsidRPr="00E77755" w:rsidRDefault="00F90923" w:rsidP="00F700E5">
      <w:pPr>
        <w:spacing w:after="0" w:line="240" w:lineRule="auto"/>
        <w:jc w:val="both"/>
        <w:rPr>
          <w:rFonts w:ascii="Times New Roman" w:hAnsi="Times New Roman" w:cs="Times New Roman"/>
          <w:bCs/>
          <w:color w:val="000000" w:themeColor="text1"/>
          <w:sz w:val="24"/>
          <w:szCs w:val="24"/>
        </w:rPr>
      </w:pPr>
    </w:p>
    <w:p w:rsidR="00F90923" w:rsidRPr="00E77755" w:rsidRDefault="00F90923" w:rsidP="00F90923">
      <w:pPr>
        <w:spacing w:after="0" w:line="240" w:lineRule="auto"/>
        <w:ind w:firstLine="346"/>
        <w:jc w:val="both"/>
        <w:rPr>
          <w:rFonts w:ascii="Times New Roman" w:hAnsi="Times New Roman" w:cs="Times New Roman"/>
          <w:bCs/>
          <w:color w:val="000000" w:themeColor="text1"/>
          <w:sz w:val="24"/>
          <w:szCs w:val="24"/>
        </w:rPr>
      </w:pPr>
    </w:p>
    <w:p w:rsidR="00BB1755" w:rsidRPr="00E77755" w:rsidRDefault="00BB1755" w:rsidP="00BB1755">
      <w:pPr>
        <w:spacing w:after="0" w:line="240" w:lineRule="auto"/>
        <w:ind w:firstLine="346"/>
        <w:rPr>
          <w:rFonts w:ascii="Times New Roman" w:eastAsia="Times New Roman" w:hAnsi="Times New Roman" w:cs="Times New Roman"/>
          <w:color w:val="000000" w:themeColor="text1"/>
          <w:sz w:val="24"/>
        </w:rPr>
      </w:pPr>
      <w:r w:rsidRPr="00E77755">
        <w:rPr>
          <w:rFonts w:ascii="Times New Roman" w:hAnsi="Times New Roman" w:cs="Times New Roman"/>
          <w:bCs/>
          <w:color w:val="000000" w:themeColor="text1"/>
          <w:sz w:val="24"/>
          <w:szCs w:val="24"/>
        </w:rPr>
        <w:tab/>
      </w:r>
      <w:r w:rsidRPr="00E77755">
        <w:rPr>
          <w:rFonts w:ascii="Times New Roman" w:hAnsi="Times New Roman" w:cs="Times New Roman"/>
          <w:bCs/>
          <w:color w:val="000000" w:themeColor="text1"/>
          <w:sz w:val="24"/>
          <w:szCs w:val="24"/>
        </w:rPr>
        <w:tab/>
      </w:r>
      <w:r w:rsidRPr="00E77755">
        <w:rPr>
          <w:rFonts w:ascii="Times New Roman" w:hAnsi="Times New Roman" w:cs="Times New Roman"/>
          <w:bCs/>
          <w:color w:val="000000" w:themeColor="text1"/>
          <w:sz w:val="24"/>
          <w:szCs w:val="24"/>
        </w:rPr>
        <w:tab/>
      </w:r>
      <w:r w:rsidRPr="00E77755">
        <w:rPr>
          <w:rFonts w:ascii="Times New Roman" w:hAnsi="Times New Roman" w:cs="Times New Roman"/>
          <w:bCs/>
          <w:color w:val="000000" w:themeColor="text1"/>
          <w:sz w:val="24"/>
          <w:szCs w:val="24"/>
        </w:rPr>
        <w:tab/>
      </w:r>
      <w:r w:rsidRPr="00E77755">
        <w:rPr>
          <w:rFonts w:ascii="Times New Roman" w:hAnsi="Times New Roman" w:cs="Times New Roman"/>
          <w:bCs/>
          <w:color w:val="000000" w:themeColor="text1"/>
          <w:sz w:val="24"/>
          <w:szCs w:val="24"/>
        </w:rPr>
        <w:tab/>
      </w:r>
      <w:r w:rsidRPr="00E77755">
        <w:rPr>
          <w:rFonts w:ascii="Times New Roman" w:hAnsi="Times New Roman" w:cs="Times New Roman"/>
          <w:bCs/>
          <w:color w:val="000000" w:themeColor="text1"/>
          <w:sz w:val="24"/>
          <w:szCs w:val="24"/>
        </w:rPr>
        <w:tab/>
      </w:r>
      <w:r w:rsidRPr="00E77755">
        <w:rPr>
          <w:rFonts w:ascii="Times New Roman" w:hAnsi="Times New Roman" w:cs="Times New Roman"/>
          <w:bCs/>
          <w:color w:val="000000" w:themeColor="text1"/>
          <w:sz w:val="24"/>
          <w:szCs w:val="24"/>
        </w:rPr>
        <w:tab/>
      </w:r>
      <w:r w:rsidRPr="00E77755">
        <w:rPr>
          <w:rFonts w:ascii="Times New Roman" w:hAnsi="Times New Roman" w:cs="Times New Roman"/>
          <w:bCs/>
          <w:color w:val="000000" w:themeColor="text1"/>
          <w:sz w:val="24"/>
          <w:szCs w:val="24"/>
        </w:rPr>
        <w:tab/>
      </w:r>
      <w:r w:rsidRPr="00E77755">
        <w:rPr>
          <w:rFonts w:ascii="Times New Roman" w:hAnsi="Times New Roman" w:cs="Times New Roman"/>
          <w:bCs/>
          <w:color w:val="000000" w:themeColor="text1"/>
          <w:sz w:val="24"/>
          <w:szCs w:val="24"/>
        </w:rPr>
        <w:tab/>
      </w:r>
      <w:r w:rsidRPr="00E77755">
        <w:rPr>
          <w:rFonts w:ascii="Times New Roman" w:hAnsi="Times New Roman" w:cs="Times New Roman"/>
          <w:bCs/>
          <w:color w:val="000000" w:themeColor="text1"/>
          <w:sz w:val="24"/>
          <w:szCs w:val="24"/>
        </w:rPr>
        <w:tab/>
      </w:r>
      <w:r w:rsidRPr="00E77755">
        <w:rPr>
          <w:rFonts w:ascii="Times New Roman" w:hAnsi="Times New Roman" w:cs="Times New Roman"/>
          <w:bCs/>
          <w:color w:val="000000" w:themeColor="text1"/>
          <w:sz w:val="24"/>
          <w:szCs w:val="24"/>
        </w:rPr>
        <w:tab/>
      </w:r>
      <w:r w:rsidRPr="00E77755">
        <w:rPr>
          <w:rFonts w:ascii="Times New Roman" w:hAnsi="Times New Roman" w:cs="Times New Roman"/>
          <w:bCs/>
          <w:color w:val="000000" w:themeColor="text1"/>
          <w:sz w:val="24"/>
          <w:szCs w:val="24"/>
        </w:rPr>
        <w:tab/>
      </w:r>
      <w:r w:rsidRPr="00E77755">
        <w:rPr>
          <w:rFonts w:ascii="Times New Roman" w:hAnsi="Times New Roman" w:cs="Times New Roman"/>
          <w:bCs/>
          <w:color w:val="000000" w:themeColor="text1"/>
          <w:sz w:val="24"/>
          <w:szCs w:val="24"/>
        </w:rPr>
        <w:tab/>
      </w:r>
      <w:r w:rsidRPr="00E77755">
        <w:rPr>
          <w:rFonts w:ascii="Times New Roman" w:hAnsi="Times New Roman" w:cs="Times New Roman"/>
          <w:bCs/>
          <w:color w:val="000000" w:themeColor="text1"/>
          <w:sz w:val="24"/>
          <w:szCs w:val="24"/>
        </w:rPr>
        <w:tab/>
        <w:t xml:space="preserve">   </w:t>
      </w:r>
      <w:r w:rsidR="0027350F" w:rsidRPr="00E77755">
        <w:rPr>
          <w:rFonts w:ascii="Times New Roman" w:hAnsi="Times New Roman" w:cs="Times New Roman"/>
          <w:bCs/>
          <w:color w:val="000000" w:themeColor="text1"/>
          <w:sz w:val="24"/>
          <w:szCs w:val="24"/>
        </w:rPr>
        <w:tab/>
      </w:r>
      <w:r w:rsidR="0027350F" w:rsidRPr="00E77755">
        <w:rPr>
          <w:rFonts w:ascii="Times New Roman" w:hAnsi="Times New Roman" w:cs="Times New Roman"/>
          <w:bCs/>
          <w:color w:val="000000" w:themeColor="text1"/>
          <w:sz w:val="24"/>
          <w:szCs w:val="24"/>
        </w:rPr>
        <w:tab/>
      </w:r>
      <w:r w:rsidR="0027350F" w:rsidRPr="00E77755">
        <w:rPr>
          <w:rFonts w:ascii="Times New Roman" w:hAnsi="Times New Roman" w:cs="Times New Roman"/>
          <w:bCs/>
          <w:color w:val="000000" w:themeColor="text1"/>
          <w:sz w:val="24"/>
          <w:szCs w:val="24"/>
        </w:rPr>
        <w:tab/>
      </w:r>
      <w:r w:rsidR="004771A5" w:rsidRPr="00E77755">
        <w:rPr>
          <w:rFonts w:ascii="Times New Roman" w:hAnsi="Times New Roman" w:cs="Times New Roman"/>
          <w:bCs/>
          <w:color w:val="000000" w:themeColor="text1"/>
          <w:sz w:val="24"/>
          <w:szCs w:val="24"/>
        </w:rPr>
        <w:t xml:space="preserve">     </w:t>
      </w:r>
      <w:r w:rsidR="00024790" w:rsidRPr="00E77755">
        <w:rPr>
          <w:rFonts w:ascii="Times New Roman" w:hAnsi="Times New Roman" w:cs="Times New Roman"/>
          <w:bCs/>
          <w:color w:val="000000" w:themeColor="text1"/>
          <w:sz w:val="24"/>
          <w:szCs w:val="24"/>
        </w:rPr>
        <w:t xml:space="preserve">     </w:t>
      </w:r>
      <w:r w:rsidRPr="00E77755">
        <w:rPr>
          <w:rFonts w:ascii="Times New Roman" w:hAnsi="Times New Roman" w:cs="Times New Roman"/>
          <w:bCs/>
          <w:color w:val="000000" w:themeColor="text1"/>
          <w:sz w:val="24"/>
          <w:szCs w:val="24"/>
        </w:rPr>
        <w:t xml:space="preserve"> </w:t>
      </w:r>
      <w:r w:rsidR="006C7476" w:rsidRPr="00E77755">
        <w:rPr>
          <w:rFonts w:ascii="Times New Roman" w:hAnsi="Times New Roman" w:cs="Times New Roman"/>
          <w:bCs/>
          <w:color w:val="000000" w:themeColor="text1"/>
          <w:sz w:val="24"/>
          <w:szCs w:val="24"/>
        </w:rPr>
        <w:t xml:space="preserve"> </w:t>
      </w:r>
      <w:r w:rsidR="00513E1E" w:rsidRPr="00E77755">
        <w:rPr>
          <w:rFonts w:ascii="Times New Roman" w:eastAsia="Times New Roman" w:hAnsi="Times New Roman" w:cs="Times New Roman"/>
          <w:color w:val="000000" w:themeColor="text1"/>
          <w:sz w:val="24"/>
        </w:rPr>
        <w:t>K</w:t>
      </w:r>
      <w:r w:rsidR="0027350F" w:rsidRPr="00E77755">
        <w:rPr>
          <w:rFonts w:ascii="Times New Roman" w:eastAsia="Times New Roman" w:hAnsi="Times New Roman" w:cs="Times New Roman"/>
          <w:color w:val="000000" w:themeColor="text1"/>
          <w:sz w:val="24"/>
        </w:rPr>
        <w:t xml:space="preserve"> </w:t>
      </w:r>
      <w:r w:rsidR="00513E1E" w:rsidRPr="00E77755">
        <w:rPr>
          <w:rFonts w:ascii="Times New Roman" w:eastAsia="Times New Roman" w:hAnsi="Times New Roman" w:cs="Times New Roman"/>
          <w:color w:val="000000" w:themeColor="text1"/>
          <w:sz w:val="24"/>
        </w:rPr>
        <w:t>R</w:t>
      </w:r>
      <w:r w:rsidR="0027350F" w:rsidRPr="00E77755">
        <w:rPr>
          <w:rFonts w:ascii="Times New Roman" w:eastAsia="Times New Roman" w:hAnsi="Times New Roman" w:cs="Times New Roman"/>
          <w:color w:val="000000" w:themeColor="text1"/>
          <w:sz w:val="24"/>
        </w:rPr>
        <w:t xml:space="preserve"> </w:t>
      </w:r>
      <w:r w:rsidR="00513E1E" w:rsidRPr="00E77755">
        <w:rPr>
          <w:rFonts w:ascii="Times New Roman" w:eastAsia="Times New Roman" w:hAnsi="Times New Roman" w:cs="Times New Roman"/>
          <w:color w:val="000000" w:themeColor="text1"/>
          <w:sz w:val="24"/>
        </w:rPr>
        <w:t>Y</w:t>
      </w:r>
      <w:r w:rsidR="0027350F" w:rsidRPr="00E77755">
        <w:rPr>
          <w:rFonts w:ascii="Times New Roman" w:eastAsia="Times New Roman" w:hAnsi="Times New Roman" w:cs="Times New Roman"/>
          <w:color w:val="000000" w:themeColor="text1"/>
          <w:sz w:val="24"/>
        </w:rPr>
        <w:t xml:space="preserve"> </w:t>
      </w:r>
      <w:r w:rsidR="00513E1E" w:rsidRPr="00E77755">
        <w:rPr>
          <w:rFonts w:ascii="Times New Roman" w:eastAsia="Times New Roman" w:hAnsi="Times New Roman" w:cs="Times New Roman"/>
          <w:color w:val="000000" w:themeColor="text1"/>
          <w:sz w:val="24"/>
        </w:rPr>
        <w:t>E</w:t>
      </w:r>
      <w:r w:rsidR="0027350F" w:rsidRPr="00E77755">
        <w:rPr>
          <w:rFonts w:ascii="Times New Roman" w:eastAsia="Times New Roman" w:hAnsi="Times New Roman" w:cs="Times New Roman"/>
          <w:color w:val="000000" w:themeColor="text1"/>
          <w:sz w:val="24"/>
        </w:rPr>
        <w:t xml:space="preserve"> </w:t>
      </w:r>
      <w:r w:rsidR="00513E1E" w:rsidRPr="00E77755">
        <w:rPr>
          <w:rFonts w:ascii="Times New Roman" w:eastAsia="Times New Roman" w:hAnsi="Times New Roman" w:cs="Times New Roman"/>
          <w:color w:val="000000" w:themeColor="text1"/>
          <w:sz w:val="24"/>
        </w:rPr>
        <w:t>T</w:t>
      </w:r>
      <w:r w:rsidR="0027350F" w:rsidRPr="00E77755">
        <w:rPr>
          <w:rFonts w:ascii="Times New Roman" w:eastAsia="Times New Roman" w:hAnsi="Times New Roman" w:cs="Times New Roman"/>
          <w:color w:val="000000" w:themeColor="text1"/>
          <w:sz w:val="24"/>
        </w:rPr>
        <w:t xml:space="preserve"> </w:t>
      </w:r>
      <w:r w:rsidR="00513E1E" w:rsidRPr="00E77755">
        <w:rPr>
          <w:rFonts w:ascii="Times New Roman" w:eastAsia="Times New Roman" w:hAnsi="Times New Roman" w:cs="Times New Roman"/>
          <w:color w:val="000000" w:themeColor="text1"/>
          <w:sz w:val="24"/>
        </w:rPr>
        <w:t>A</w:t>
      </w:r>
      <w:r w:rsidR="0027350F" w:rsidRPr="00E77755">
        <w:rPr>
          <w:rFonts w:ascii="Times New Roman" w:eastAsia="Times New Roman" w:hAnsi="Times New Roman" w:cs="Times New Roman"/>
          <w:color w:val="000000" w:themeColor="text1"/>
          <w:sz w:val="24"/>
        </w:rPr>
        <w:t xml:space="preserve"> </w:t>
      </w:r>
      <w:r w:rsidR="00513E1E" w:rsidRPr="00E77755">
        <w:rPr>
          <w:rFonts w:ascii="Times New Roman" w:eastAsia="Times New Roman" w:hAnsi="Times New Roman" w:cs="Times New Roman"/>
          <w:color w:val="000000" w:themeColor="text1"/>
          <w:sz w:val="24"/>
        </w:rPr>
        <w:t>R</w:t>
      </w:r>
      <w:r w:rsidR="0027350F" w:rsidRPr="00E77755">
        <w:rPr>
          <w:rFonts w:ascii="Times New Roman" w:eastAsia="Times New Roman" w:hAnsi="Times New Roman" w:cs="Times New Roman"/>
          <w:color w:val="000000" w:themeColor="text1"/>
          <w:sz w:val="24"/>
        </w:rPr>
        <w:t xml:space="preserve"> </w:t>
      </w:r>
      <w:r w:rsidR="00513E1E" w:rsidRPr="00E77755">
        <w:rPr>
          <w:rFonts w:ascii="Times New Roman" w:eastAsia="Times New Roman" w:hAnsi="Times New Roman" w:cs="Times New Roman"/>
          <w:color w:val="000000" w:themeColor="text1"/>
          <w:sz w:val="24"/>
        </w:rPr>
        <w:t>E</w:t>
      </w:r>
    </w:p>
    <w:p w:rsidR="00BB1755" w:rsidRPr="00E77755" w:rsidRDefault="00BB1755" w:rsidP="00BB1755">
      <w:pPr>
        <w:spacing w:after="0" w:line="240" w:lineRule="auto"/>
        <w:ind w:firstLine="346"/>
        <w:rPr>
          <w:rFonts w:ascii="Times New Roman" w:eastAsia="Times New Roman" w:hAnsi="Times New Roman" w:cs="Times New Roman"/>
          <w:color w:val="000000" w:themeColor="text1"/>
          <w:sz w:val="24"/>
        </w:rPr>
      </w:pPr>
    </w:p>
    <w:p w:rsidR="00BB1755" w:rsidRPr="00E77755" w:rsidRDefault="002D3DB1" w:rsidP="0027350F">
      <w:pPr>
        <w:spacing w:after="0" w:line="240" w:lineRule="auto"/>
        <w:ind w:left="5434" w:firstLine="346"/>
        <w:jc w:val="both"/>
        <w:rPr>
          <w:rFonts w:ascii="Times New Roman" w:eastAsia="Times New Roman" w:hAnsi="Times New Roman" w:cs="Times New Roman"/>
          <w:b/>
          <w:color w:val="000000" w:themeColor="text1"/>
          <w:sz w:val="24"/>
        </w:rPr>
      </w:pPr>
      <w:r w:rsidRPr="00E77755">
        <w:rPr>
          <w:rFonts w:ascii="Times New Roman" w:eastAsia="Times New Roman" w:hAnsi="Times New Roman" w:cs="Times New Roman"/>
          <w:color w:val="000000" w:themeColor="text1"/>
          <w:sz w:val="24"/>
        </w:rPr>
        <w:t xml:space="preserve">   </w:t>
      </w:r>
      <w:r w:rsidRPr="00E77755">
        <w:rPr>
          <w:rFonts w:ascii="Times New Roman" w:eastAsia="Times New Roman" w:hAnsi="Times New Roman" w:cs="Times New Roman"/>
          <w:color w:val="000000" w:themeColor="text1"/>
          <w:sz w:val="24"/>
        </w:rPr>
        <w:tab/>
      </w:r>
      <w:r w:rsidRPr="00E77755">
        <w:rPr>
          <w:rFonts w:ascii="Times New Roman" w:eastAsia="Times New Roman" w:hAnsi="Times New Roman" w:cs="Times New Roman"/>
          <w:color w:val="000000" w:themeColor="text1"/>
          <w:sz w:val="24"/>
        </w:rPr>
        <w:tab/>
        <w:t xml:space="preserve">     </w:t>
      </w:r>
      <w:r w:rsidR="0027350F" w:rsidRPr="00E77755">
        <w:rPr>
          <w:rFonts w:ascii="Times New Roman" w:eastAsia="Times New Roman" w:hAnsi="Times New Roman" w:cs="Times New Roman"/>
          <w:b/>
          <w:color w:val="000000" w:themeColor="text1"/>
          <w:sz w:val="24"/>
        </w:rPr>
        <w:t>Lindita NIKOLLA</w:t>
      </w:r>
    </w:p>
    <w:p w:rsidR="0052203F" w:rsidRPr="00E77755" w:rsidRDefault="0052203F" w:rsidP="00BB1755">
      <w:pPr>
        <w:spacing w:after="0" w:line="240" w:lineRule="auto"/>
        <w:ind w:left="6460"/>
        <w:jc w:val="both"/>
        <w:rPr>
          <w:rFonts w:ascii="Times New Roman" w:hAnsi="Times New Roman" w:cs="Times New Roman"/>
          <w:bCs/>
          <w:color w:val="000000" w:themeColor="text1"/>
          <w:sz w:val="24"/>
          <w:szCs w:val="24"/>
        </w:rPr>
      </w:pPr>
    </w:p>
    <w:p w:rsidR="0088796B" w:rsidRPr="00E77755" w:rsidRDefault="0088796B" w:rsidP="0052203F">
      <w:pPr>
        <w:spacing w:after="0" w:line="240" w:lineRule="auto"/>
        <w:jc w:val="both"/>
        <w:rPr>
          <w:rFonts w:ascii="Times New Roman" w:hAnsi="Times New Roman" w:cs="Times New Roman"/>
          <w:bCs/>
          <w:color w:val="000000" w:themeColor="text1"/>
          <w:sz w:val="24"/>
          <w:szCs w:val="24"/>
        </w:rPr>
      </w:pPr>
    </w:p>
    <w:p w:rsidR="00DD7DEF" w:rsidRPr="00E77755" w:rsidRDefault="00DD7DEF" w:rsidP="0052203F">
      <w:pPr>
        <w:spacing w:after="0" w:line="240" w:lineRule="auto"/>
        <w:jc w:val="both"/>
        <w:rPr>
          <w:rFonts w:ascii="Times New Roman" w:hAnsi="Times New Roman" w:cs="Times New Roman"/>
          <w:bCs/>
          <w:color w:val="000000" w:themeColor="text1"/>
          <w:sz w:val="24"/>
          <w:szCs w:val="24"/>
        </w:rPr>
      </w:pPr>
    </w:p>
    <w:p w:rsidR="00976A3C" w:rsidRPr="00E77755" w:rsidRDefault="00976A3C" w:rsidP="0052203F">
      <w:pPr>
        <w:spacing w:after="0" w:line="240" w:lineRule="auto"/>
        <w:jc w:val="both"/>
        <w:rPr>
          <w:rFonts w:ascii="Times New Roman" w:hAnsi="Times New Roman" w:cs="Times New Roman"/>
          <w:bCs/>
          <w:color w:val="000000" w:themeColor="text1"/>
          <w:sz w:val="24"/>
          <w:szCs w:val="24"/>
        </w:rPr>
      </w:pPr>
      <w:r w:rsidRPr="00E77755">
        <w:rPr>
          <w:rFonts w:ascii="Times New Roman" w:hAnsi="Times New Roman" w:cs="Times New Roman"/>
          <w:bCs/>
          <w:color w:val="000000" w:themeColor="text1"/>
          <w:sz w:val="24"/>
          <w:szCs w:val="24"/>
        </w:rPr>
        <w:t>Miratuar në datën</w:t>
      </w:r>
      <w:r w:rsidR="00FC6BDD" w:rsidRPr="00E77755">
        <w:rPr>
          <w:rFonts w:ascii="Times New Roman" w:hAnsi="Times New Roman" w:cs="Times New Roman"/>
          <w:bCs/>
          <w:color w:val="000000" w:themeColor="text1"/>
          <w:sz w:val="24"/>
          <w:szCs w:val="24"/>
        </w:rPr>
        <w:t xml:space="preserve"> </w:t>
      </w:r>
      <w:r w:rsidR="005C2215" w:rsidRPr="00E77755">
        <w:rPr>
          <w:rFonts w:ascii="Times New Roman" w:hAnsi="Times New Roman" w:cs="Times New Roman"/>
          <w:bCs/>
          <w:color w:val="000000" w:themeColor="text1"/>
          <w:sz w:val="24"/>
          <w:szCs w:val="24"/>
        </w:rPr>
        <w:t>7.12.</w:t>
      </w:r>
      <w:r w:rsidR="007748A2" w:rsidRPr="00E77755">
        <w:rPr>
          <w:rFonts w:ascii="Times New Roman" w:hAnsi="Times New Roman" w:cs="Times New Roman"/>
          <w:bCs/>
          <w:color w:val="000000" w:themeColor="text1"/>
          <w:sz w:val="24"/>
          <w:szCs w:val="24"/>
        </w:rPr>
        <w:t>2023</w:t>
      </w:r>
    </w:p>
    <w:p w:rsidR="009A2331" w:rsidRPr="00E77755" w:rsidRDefault="009A2331" w:rsidP="009A2331">
      <w:pPr>
        <w:spacing w:after="0" w:line="240" w:lineRule="auto"/>
        <w:rPr>
          <w:rFonts w:ascii="Times New Roman" w:eastAsia="Times New Roman" w:hAnsi="Times New Roman" w:cs="Times New Roman"/>
          <w:color w:val="000000" w:themeColor="text1"/>
          <w:sz w:val="20"/>
          <w:szCs w:val="20"/>
        </w:rPr>
      </w:pPr>
    </w:p>
    <w:p w:rsidR="00213234" w:rsidRPr="00E77755" w:rsidRDefault="00213234" w:rsidP="00B07A20">
      <w:pPr>
        <w:spacing w:after="0"/>
        <w:jc w:val="both"/>
        <w:rPr>
          <w:rFonts w:ascii="Times New Roman" w:hAnsi="Times New Roman" w:cs="Times New Roman"/>
          <w:bCs/>
          <w:color w:val="000000" w:themeColor="text1"/>
          <w:sz w:val="20"/>
          <w:szCs w:val="20"/>
        </w:rPr>
      </w:pPr>
      <w:bookmarkStart w:id="0" w:name="_GoBack"/>
      <w:bookmarkEnd w:id="0"/>
    </w:p>
    <w:sectPr w:rsidR="00213234" w:rsidRPr="00E77755" w:rsidSect="00AE5B81">
      <w:footerReference w:type="default" r:id="rId8"/>
      <w:pgSz w:w="11906" w:h="16838" w:code="9"/>
      <w:pgMar w:top="1152" w:right="1152" w:bottom="1152" w:left="11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4AE" w:rsidRDefault="003964AE" w:rsidP="00420682">
      <w:pPr>
        <w:spacing w:after="0" w:line="240" w:lineRule="auto"/>
      </w:pPr>
      <w:r>
        <w:separator/>
      </w:r>
    </w:p>
  </w:endnote>
  <w:endnote w:type="continuationSeparator" w:id="0">
    <w:p w:rsidR="003964AE" w:rsidRDefault="003964AE" w:rsidP="0042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962233"/>
      <w:docPartObj>
        <w:docPartGallery w:val="Page Numbers (Bottom of Page)"/>
        <w:docPartUnique/>
      </w:docPartObj>
    </w:sdtPr>
    <w:sdtEndPr>
      <w:rPr>
        <w:noProof/>
      </w:rPr>
    </w:sdtEndPr>
    <w:sdtContent>
      <w:p w:rsidR="0096575A" w:rsidRDefault="0096575A">
        <w:pPr>
          <w:pStyle w:val="Footer"/>
          <w:jc w:val="center"/>
        </w:pPr>
        <w:r w:rsidRPr="0096575A">
          <w:rPr>
            <w:rFonts w:ascii="Times New Roman" w:hAnsi="Times New Roman" w:cs="Times New Roman"/>
            <w:sz w:val="24"/>
            <w:szCs w:val="24"/>
          </w:rPr>
          <w:fldChar w:fldCharType="begin"/>
        </w:r>
        <w:r w:rsidRPr="0096575A">
          <w:rPr>
            <w:rFonts w:ascii="Times New Roman" w:hAnsi="Times New Roman" w:cs="Times New Roman"/>
            <w:sz w:val="24"/>
            <w:szCs w:val="24"/>
          </w:rPr>
          <w:instrText xml:space="preserve"> PAGE   \* MERGEFORMAT </w:instrText>
        </w:r>
        <w:r w:rsidRPr="0096575A">
          <w:rPr>
            <w:rFonts w:ascii="Times New Roman" w:hAnsi="Times New Roman" w:cs="Times New Roman"/>
            <w:sz w:val="24"/>
            <w:szCs w:val="24"/>
          </w:rPr>
          <w:fldChar w:fldCharType="separate"/>
        </w:r>
        <w:r w:rsidR="00956625">
          <w:rPr>
            <w:rFonts w:ascii="Times New Roman" w:hAnsi="Times New Roman" w:cs="Times New Roman"/>
            <w:noProof/>
            <w:sz w:val="24"/>
            <w:szCs w:val="24"/>
          </w:rPr>
          <w:t>8</w:t>
        </w:r>
        <w:r w:rsidRPr="0096575A">
          <w:rPr>
            <w:rFonts w:ascii="Times New Roman" w:hAnsi="Times New Roman" w:cs="Times New Roman"/>
            <w:noProof/>
            <w:sz w:val="24"/>
            <w:szCs w:val="24"/>
          </w:rPr>
          <w:fldChar w:fldCharType="end"/>
        </w:r>
      </w:p>
    </w:sdtContent>
  </w:sdt>
  <w:p w:rsidR="006C6D22" w:rsidRDefault="006C6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4AE" w:rsidRDefault="003964AE" w:rsidP="00420682">
      <w:pPr>
        <w:spacing w:after="0" w:line="240" w:lineRule="auto"/>
      </w:pPr>
      <w:r>
        <w:separator/>
      </w:r>
    </w:p>
  </w:footnote>
  <w:footnote w:type="continuationSeparator" w:id="0">
    <w:p w:rsidR="003964AE" w:rsidRDefault="003964AE" w:rsidP="00420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9754E"/>
    <w:multiLevelType w:val="hybridMultilevel"/>
    <w:tmpl w:val="BE62640E"/>
    <w:lvl w:ilvl="0" w:tplc="0DD4E048">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1A"/>
    <w:rsid w:val="00001183"/>
    <w:rsid w:val="00001406"/>
    <w:rsid w:val="00002637"/>
    <w:rsid w:val="00002A97"/>
    <w:rsid w:val="00002F75"/>
    <w:rsid w:val="00011558"/>
    <w:rsid w:val="000115A2"/>
    <w:rsid w:val="000141A5"/>
    <w:rsid w:val="00024790"/>
    <w:rsid w:val="00043C57"/>
    <w:rsid w:val="00054966"/>
    <w:rsid w:val="00055AB5"/>
    <w:rsid w:val="00060376"/>
    <w:rsid w:val="00070CAE"/>
    <w:rsid w:val="00072080"/>
    <w:rsid w:val="00075305"/>
    <w:rsid w:val="000765C2"/>
    <w:rsid w:val="00091A46"/>
    <w:rsid w:val="00096985"/>
    <w:rsid w:val="00097617"/>
    <w:rsid w:val="000A1E47"/>
    <w:rsid w:val="000A3B4D"/>
    <w:rsid w:val="000A6B3D"/>
    <w:rsid w:val="000B28B7"/>
    <w:rsid w:val="000B3F8E"/>
    <w:rsid w:val="000D199E"/>
    <w:rsid w:val="000E268C"/>
    <w:rsid w:val="000E5BA6"/>
    <w:rsid w:val="000F46AF"/>
    <w:rsid w:val="000F482E"/>
    <w:rsid w:val="00106F6D"/>
    <w:rsid w:val="0011415C"/>
    <w:rsid w:val="00121E29"/>
    <w:rsid w:val="00122D1F"/>
    <w:rsid w:val="0012550D"/>
    <w:rsid w:val="00130958"/>
    <w:rsid w:val="00132CEC"/>
    <w:rsid w:val="00135A36"/>
    <w:rsid w:val="00136EC9"/>
    <w:rsid w:val="00146D52"/>
    <w:rsid w:val="00153CC5"/>
    <w:rsid w:val="00154CFD"/>
    <w:rsid w:val="00155BCF"/>
    <w:rsid w:val="00155EBC"/>
    <w:rsid w:val="00166898"/>
    <w:rsid w:val="00167D1D"/>
    <w:rsid w:val="00176471"/>
    <w:rsid w:val="001816AF"/>
    <w:rsid w:val="00191A00"/>
    <w:rsid w:val="001941F2"/>
    <w:rsid w:val="001942D4"/>
    <w:rsid w:val="001960B2"/>
    <w:rsid w:val="001A1919"/>
    <w:rsid w:val="001A2945"/>
    <w:rsid w:val="001B2638"/>
    <w:rsid w:val="001B796E"/>
    <w:rsid w:val="001C0806"/>
    <w:rsid w:val="001C2335"/>
    <w:rsid w:val="001C445C"/>
    <w:rsid w:val="001C5CDE"/>
    <w:rsid w:val="001C6A0A"/>
    <w:rsid w:val="001C7EC0"/>
    <w:rsid w:val="001D0184"/>
    <w:rsid w:val="001D2895"/>
    <w:rsid w:val="001D31EB"/>
    <w:rsid w:val="001D77D6"/>
    <w:rsid w:val="001D7939"/>
    <w:rsid w:val="001E24B1"/>
    <w:rsid w:val="001E2ADF"/>
    <w:rsid w:val="001F194A"/>
    <w:rsid w:val="001F78C3"/>
    <w:rsid w:val="001F797D"/>
    <w:rsid w:val="0020004E"/>
    <w:rsid w:val="002009A1"/>
    <w:rsid w:val="0020160E"/>
    <w:rsid w:val="0020170B"/>
    <w:rsid w:val="002044B0"/>
    <w:rsid w:val="0020507F"/>
    <w:rsid w:val="002101FE"/>
    <w:rsid w:val="00212E52"/>
    <w:rsid w:val="00213234"/>
    <w:rsid w:val="00214854"/>
    <w:rsid w:val="0021715D"/>
    <w:rsid w:val="00224329"/>
    <w:rsid w:val="00225EBD"/>
    <w:rsid w:val="00233280"/>
    <w:rsid w:val="00234BD8"/>
    <w:rsid w:val="0024206A"/>
    <w:rsid w:val="00243B60"/>
    <w:rsid w:val="00247DF1"/>
    <w:rsid w:val="00250F7F"/>
    <w:rsid w:val="0026293F"/>
    <w:rsid w:val="00264FD5"/>
    <w:rsid w:val="00266C06"/>
    <w:rsid w:val="0027350F"/>
    <w:rsid w:val="002753F6"/>
    <w:rsid w:val="00277C89"/>
    <w:rsid w:val="002A47D7"/>
    <w:rsid w:val="002C7626"/>
    <w:rsid w:val="002C7D02"/>
    <w:rsid w:val="002D3DB1"/>
    <w:rsid w:val="002D4309"/>
    <w:rsid w:val="002D5F14"/>
    <w:rsid w:val="002E0FFB"/>
    <w:rsid w:val="002E2079"/>
    <w:rsid w:val="002E5221"/>
    <w:rsid w:val="002F000B"/>
    <w:rsid w:val="002F5953"/>
    <w:rsid w:val="002F5F81"/>
    <w:rsid w:val="00300CDA"/>
    <w:rsid w:val="003168B3"/>
    <w:rsid w:val="00325554"/>
    <w:rsid w:val="003305E1"/>
    <w:rsid w:val="003333CC"/>
    <w:rsid w:val="00336EED"/>
    <w:rsid w:val="003403C8"/>
    <w:rsid w:val="003547D6"/>
    <w:rsid w:val="00365BF7"/>
    <w:rsid w:val="003745EF"/>
    <w:rsid w:val="00375597"/>
    <w:rsid w:val="0038331D"/>
    <w:rsid w:val="00395396"/>
    <w:rsid w:val="003953EE"/>
    <w:rsid w:val="003960E0"/>
    <w:rsid w:val="003964AE"/>
    <w:rsid w:val="00397541"/>
    <w:rsid w:val="003A135F"/>
    <w:rsid w:val="003A38DC"/>
    <w:rsid w:val="003A63A5"/>
    <w:rsid w:val="003B717B"/>
    <w:rsid w:val="003C400C"/>
    <w:rsid w:val="003C48FF"/>
    <w:rsid w:val="003D5049"/>
    <w:rsid w:val="003D59B2"/>
    <w:rsid w:val="003D5ED0"/>
    <w:rsid w:val="003D63F5"/>
    <w:rsid w:val="003E72F7"/>
    <w:rsid w:val="003F29A8"/>
    <w:rsid w:val="003F398D"/>
    <w:rsid w:val="0040042E"/>
    <w:rsid w:val="00403A89"/>
    <w:rsid w:val="0041300C"/>
    <w:rsid w:val="00420682"/>
    <w:rsid w:val="0042341E"/>
    <w:rsid w:val="00433BCD"/>
    <w:rsid w:val="00436717"/>
    <w:rsid w:val="00445610"/>
    <w:rsid w:val="0045538C"/>
    <w:rsid w:val="00455BBA"/>
    <w:rsid w:val="00460BC4"/>
    <w:rsid w:val="004647DB"/>
    <w:rsid w:val="00471609"/>
    <w:rsid w:val="004771A5"/>
    <w:rsid w:val="00477804"/>
    <w:rsid w:val="004866A8"/>
    <w:rsid w:val="00496497"/>
    <w:rsid w:val="004A5884"/>
    <w:rsid w:val="004A5DE6"/>
    <w:rsid w:val="004B12D2"/>
    <w:rsid w:val="004B6ED9"/>
    <w:rsid w:val="004C2DFD"/>
    <w:rsid w:val="004D3CFC"/>
    <w:rsid w:val="004E0701"/>
    <w:rsid w:val="004E0CFF"/>
    <w:rsid w:val="004E48D1"/>
    <w:rsid w:val="004E62D6"/>
    <w:rsid w:val="004E7290"/>
    <w:rsid w:val="004E7E53"/>
    <w:rsid w:val="004F446C"/>
    <w:rsid w:val="004F447A"/>
    <w:rsid w:val="004F7030"/>
    <w:rsid w:val="00511A6D"/>
    <w:rsid w:val="00513E1E"/>
    <w:rsid w:val="00513F13"/>
    <w:rsid w:val="005201B5"/>
    <w:rsid w:val="0052203F"/>
    <w:rsid w:val="00522FFB"/>
    <w:rsid w:val="0052733B"/>
    <w:rsid w:val="00531970"/>
    <w:rsid w:val="00531A97"/>
    <w:rsid w:val="00533AC7"/>
    <w:rsid w:val="00536F06"/>
    <w:rsid w:val="00542102"/>
    <w:rsid w:val="00550FA3"/>
    <w:rsid w:val="0055575B"/>
    <w:rsid w:val="00556AD2"/>
    <w:rsid w:val="0055707F"/>
    <w:rsid w:val="005661F9"/>
    <w:rsid w:val="00570DA2"/>
    <w:rsid w:val="005726F2"/>
    <w:rsid w:val="00573EE3"/>
    <w:rsid w:val="005767F6"/>
    <w:rsid w:val="00591503"/>
    <w:rsid w:val="00591A3B"/>
    <w:rsid w:val="0059248B"/>
    <w:rsid w:val="0059342C"/>
    <w:rsid w:val="005A7379"/>
    <w:rsid w:val="005B1D69"/>
    <w:rsid w:val="005B6E3F"/>
    <w:rsid w:val="005C1F7E"/>
    <w:rsid w:val="005C2215"/>
    <w:rsid w:val="005F00A8"/>
    <w:rsid w:val="0060398D"/>
    <w:rsid w:val="0060535D"/>
    <w:rsid w:val="006066FA"/>
    <w:rsid w:val="0061141E"/>
    <w:rsid w:val="0062077A"/>
    <w:rsid w:val="00621A17"/>
    <w:rsid w:val="00623CA9"/>
    <w:rsid w:val="00637B8A"/>
    <w:rsid w:val="006465EF"/>
    <w:rsid w:val="00646924"/>
    <w:rsid w:val="00663243"/>
    <w:rsid w:val="00670AA2"/>
    <w:rsid w:val="0067406E"/>
    <w:rsid w:val="00677E6C"/>
    <w:rsid w:val="00683C22"/>
    <w:rsid w:val="00694869"/>
    <w:rsid w:val="00696D19"/>
    <w:rsid w:val="006A2688"/>
    <w:rsid w:val="006B3074"/>
    <w:rsid w:val="006B3952"/>
    <w:rsid w:val="006C3818"/>
    <w:rsid w:val="006C54E5"/>
    <w:rsid w:val="006C6D22"/>
    <w:rsid w:val="006C7476"/>
    <w:rsid w:val="006F4D55"/>
    <w:rsid w:val="007031E5"/>
    <w:rsid w:val="00707B70"/>
    <w:rsid w:val="007140D9"/>
    <w:rsid w:val="007217C2"/>
    <w:rsid w:val="007243F1"/>
    <w:rsid w:val="00726525"/>
    <w:rsid w:val="0073064D"/>
    <w:rsid w:val="00736DC8"/>
    <w:rsid w:val="007403CF"/>
    <w:rsid w:val="00742442"/>
    <w:rsid w:val="00750246"/>
    <w:rsid w:val="00750AED"/>
    <w:rsid w:val="007654B3"/>
    <w:rsid w:val="00770CEF"/>
    <w:rsid w:val="00770FAD"/>
    <w:rsid w:val="00774741"/>
    <w:rsid w:val="007748A2"/>
    <w:rsid w:val="007749AC"/>
    <w:rsid w:val="007A2A36"/>
    <w:rsid w:val="007A2E0E"/>
    <w:rsid w:val="007B4156"/>
    <w:rsid w:val="007B46AF"/>
    <w:rsid w:val="007C083E"/>
    <w:rsid w:val="007C57D8"/>
    <w:rsid w:val="007D6440"/>
    <w:rsid w:val="007D742E"/>
    <w:rsid w:val="007D76F7"/>
    <w:rsid w:val="007E2515"/>
    <w:rsid w:val="007E6D9E"/>
    <w:rsid w:val="007F5841"/>
    <w:rsid w:val="008030D2"/>
    <w:rsid w:val="00811138"/>
    <w:rsid w:val="0081405B"/>
    <w:rsid w:val="00820E26"/>
    <w:rsid w:val="0083509D"/>
    <w:rsid w:val="00840462"/>
    <w:rsid w:val="008420C3"/>
    <w:rsid w:val="0085472C"/>
    <w:rsid w:val="00857D03"/>
    <w:rsid w:val="008620E4"/>
    <w:rsid w:val="0086360A"/>
    <w:rsid w:val="008720AB"/>
    <w:rsid w:val="0087264B"/>
    <w:rsid w:val="0087468B"/>
    <w:rsid w:val="008814EA"/>
    <w:rsid w:val="00883D53"/>
    <w:rsid w:val="0088796B"/>
    <w:rsid w:val="00887E61"/>
    <w:rsid w:val="008914C1"/>
    <w:rsid w:val="00892C77"/>
    <w:rsid w:val="00896644"/>
    <w:rsid w:val="0089762F"/>
    <w:rsid w:val="008A1646"/>
    <w:rsid w:val="008B3FAE"/>
    <w:rsid w:val="008C15C7"/>
    <w:rsid w:val="008C1C92"/>
    <w:rsid w:val="008C3427"/>
    <w:rsid w:val="008D12D7"/>
    <w:rsid w:val="008D3FB7"/>
    <w:rsid w:val="008D4F14"/>
    <w:rsid w:val="008E125A"/>
    <w:rsid w:val="00900D7B"/>
    <w:rsid w:val="0091014E"/>
    <w:rsid w:val="009104DF"/>
    <w:rsid w:val="00925F09"/>
    <w:rsid w:val="00944D6B"/>
    <w:rsid w:val="00954FD3"/>
    <w:rsid w:val="00956625"/>
    <w:rsid w:val="00957A39"/>
    <w:rsid w:val="0096096B"/>
    <w:rsid w:val="009629C7"/>
    <w:rsid w:val="0096575A"/>
    <w:rsid w:val="00970D95"/>
    <w:rsid w:val="00974717"/>
    <w:rsid w:val="00976A3C"/>
    <w:rsid w:val="00991D86"/>
    <w:rsid w:val="0099741A"/>
    <w:rsid w:val="009A2331"/>
    <w:rsid w:val="009A4870"/>
    <w:rsid w:val="009A6F98"/>
    <w:rsid w:val="009A789B"/>
    <w:rsid w:val="009B1183"/>
    <w:rsid w:val="009B61B1"/>
    <w:rsid w:val="009C0ABA"/>
    <w:rsid w:val="009C12D6"/>
    <w:rsid w:val="009C52A4"/>
    <w:rsid w:val="009D36E7"/>
    <w:rsid w:val="00A00DE3"/>
    <w:rsid w:val="00A01F1A"/>
    <w:rsid w:val="00A06D12"/>
    <w:rsid w:val="00A10B5D"/>
    <w:rsid w:val="00A1237A"/>
    <w:rsid w:val="00A15DE9"/>
    <w:rsid w:val="00A27C1F"/>
    <w:rsid w:val="00A34D9D"/>
    <w:rsid w:val="00A35A3F"/>
    <w:rsid w:val="00A36786"/>
    <w:rsid w:val="00A431DD"/>
    <w:rsid w:val="00A5415E"/>
    <w:rsid w:val="00A645A6"/>
    <w:rsid w:val="00A75385"/>
    <w:rsid w:val="00A97B73"/>
    <w:rsid w:val="00AA32E0"/>
    <w:rsid w:val="00AA5367"/>
    <w:rsid w:val="00AA545E"/>
    <w:rsid w:val="00AB14B8"/>
    <w:rsid w:val="00AB18EF"/>
    <w:rsid w:val="00AC2686"/>
    <w:rsid w:val="00AD1072"/>
    <w:rsid w:val="00AD2AD0"/>
    <w:rsid w:val="00AE5B81"/>
    <w:rsid w:val="00AF0CE9"/>
    <w:rsid w:val="00AF5D8E"/>
    <w:rsid w:val="00AF79BB"/>
    <w:rsid w:val="00B03A16"/>
    <w:rsid w:val="00B05FAF"/>
    <w:rsid w:val="00B07A20"/>
    <w:rsid w:val="00B14BBE"/>
    <w:rsid w:val="00B17529"/>
    <w:rsid w:val="00B26672"/>
    <w:rsid w:val="00B3200A"/>
    <w:rsid w:val="00B46B49"/>
    <w:rsid w:val="00B51F9D"/>
    <w:rsid w:val="00B54D96"/>
    <w:rsid w:val="00B6099E"/>
    <w:rsid w:val="00B6427E"/>
    <w:rsid w:val="00B67778"/>
    <w:rsid w:val="00B67E49"/>
    <w:rsid w:val="00B8668D"/>
    <w:rsid w:val="00B93CCD"/>
    <w:rsid w:val="00B9783F"/>
    <w:rsid w:val="00BA1706"/>
    <w:rsid w:val="00BA5571"/>
    <w:rsid w:val="00BA7752"/>
    <w:rsid w:val="00BB15C8"/>
    <w:rsid w:val="00BB1755"/>
    <w:rsid w:val="00BC0B3B"/>
    <w:rsid w:val="00BD4611"/>
    <w:rsid w:val="00BD625D"/>
    <w:rsid w:val="00BE2D48"/>
    <w:rsid w:val="00BE4BA2"/>
    <w:rsid w:val="00C1023D"/>
    <w:rsid w:val="00C10624"/>
    <w:rsid w:val="00C17A6D"/>
    <w:rsid w:val="00C31328"/>
    <w:rsid w:val="00C33585"/>
    <w:rsid w:val="00C40B28"/>
    <w:rsid w:val="00C4191B"/>
    <w:rsid w:val="00C446ED"/>
    <w:rsid w:val="00C5239D"/>
    <w:rsid w:val="00C53EBB"/>
    <w:rsid w:val="00C60CAD"/>
    <w:rsid w:val="00C6573D"/>
    <w:rsid w:val="00C70D94"/>
    <w:rsid w:val="00C71734"/>
    <w:rsid w:val="00C751AA"/>
    <w:rsid w:val="00C85BBF"/>
    <w:rsid w:val="00C90FD7"/>
    <w:rsid w:val="00C92A38"/>
    <w:rsid w:val="00C92C5B"/>
    <w:rsid w:val="00CA0828"/>
    <w:rsid w:val="00CB0B77"/>
    <w:rsid w:val="00CB474E"/>
    <w:rsid w:val="00CC15A1"/>
    <w:rsid w:val="00CC7CA2"/>
    <w:rsid w:val="00CE2478"/>
    <w:rsid w:val="00CE42A7"/>
    <w:rsid w:val="00CF5B1F"/>
    <w:rsid w:val="00CF5B26"/>
    <w:rsid w:val="00D01C15"/>
    <w:rsid w:val="00D127E2"/>
    <w:rsid w:val="00D1517D"/>
    <w:rsid w:val="00D23C4B"/>
    <w:rsid w:val="00D24B56"/>
    <w:rsid w:val="00D41916"/>
    <w:rsid w:val="00D45AC2"/>
    <w:rsid w:val="00D50CA0"/>
    <w:rsid w:val="00D51772"/>
    <w:rsid w:val="00D52992"/>
    <w:rsid w:val="00D56C48"/>
    <w:rsid w:val="00D60C6B"/>
    <w:rsid w:val="00D87B52"/>
    <w:rsid w:val="00DA2B84"/>
    <w:rsid w:val="00DA56D4"/>
    <w:rsid w:val="00DC0191"/>
    <w:rsid w:val="00DC03DB"/>
    <w:rsid w:val="00DC0BDC"/>
    <w:rsid w:val="00DC34E0"/>
    <w:rsid w:val="00DD7DEF"/>
    <w:rsid w:val="00DE163B"/>
    <w:rsid w:val="00DF2019"/>
    <w:rsid w:val="00DF295D"/>
    <w:rsid w:val="00DF7D66"/>
    <w:rsid w:val="00E04303"/>
    <w:rsid w:val="00E07E8C"/>
    <w:rsid w:val="00E20095"/>
    <w:rsid w:val="00E208F9"/>
    <w:rsid w:val="00E32B8C"/>
    <w:rsid w:val="00E33812"/>
    <w:rsid w:val="00E370B3"/>
    <w:rsid w:val="00E42635"/>
    <w:rsid w:val="00E452DA"/>
    <w:rsid w:val="00E6234F"/>
    <w:rsid w:val="00E64795"/>
    <w:rsid w:val="00E71EE6"/>
    <w:rsid w:val="00E72BC5"/>
    <w:rsid w:val="00E76B9D"/>
    <w:rsid w:val="00E77755"/>
    <w:rsid w:val="00E7782A"/>
    <w:rsid w:val="00E82905"/>
    <w:rsid w:val="00E90D23"/>
    <w:rsid w:val="00EB03C1"/>
    <w:rsid w:val="00EC47A4"/>
    <w:rsid w:val="00EC55E7"/>
    <w:rsid w:val="00EC57E8"/>
    <w:rsid w:val="00EC5B31"/>
    <w:rsid w:val="00ED7107"/>
    <w:rsid w:val="00EE7E5D"/>
    <w:rsid w:val="00EF4CCD"/>
    <w:rsid w:val="00EF7E55"/>
    <w:rsid w:val="00F03F03"/>
    <w:rsid w:val="00F07F7F"/>
    <w:rsid w:val="00F234B6"/>
    <w:rsid w:val="00F30C68"/>
    <w:rsid w:val="00F321FF"/>
    <w:rsid w:val="00F32C43"/>
    <w:rsid w:val="00F52125"/>
    <w:rsid w:val="00F537D2"/>
    <w:rsid w:val="00F62A46"/>
    <w:rsid w:val="00F630AC"/>
    <w:rsid w:val="00F700E5"/>
    <w:rsid w:val="00F814BA"/>
    <w:rsid w:val="00F82C33"/>
    <w:rsid w:val="00F84F9C"/>
    <w:rsid w:val="00F90923"/>
    <w:rsid w:val="00FA02A3"/>
    <w:rsid w:val="00FA0571"/>
    <w:rsid w:val="00FA065B"/>
    <w:rsid w:val="00FA3C0E"/>
    <w:rsid w:val="00FB4F69"/>
    <w:rsid w:val="00FB5CED"/>
    <w:rsid w:val="00FC24EB"/>
    <w:rsid w:val="00FC484A"/>
    <w:rsid w:val="00FC631E"/>
    <w:rsid w:val="00FC6BDD"/>
    <w:rsid w:val="00FD3EA6"/>
    <w:rsid w:val="00FE32E6"/>
    <w:rsid w:val="00FF1103"/>
    <w:rsid w:val="00FF279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FE2E"/>
  <w15:chartTrackingRefBased/>
  <w15:docId w15:val="{3316AD96-8687-4BFF-867C-155088E0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Header">
    <w:name w:val="header"/>
    <w:basedOn w:val="Normal"/>
    <w:link w:val="HeaderChar"/>
    <w:uiPriority w:val="99"/>
    <w:unhideWhenUsed/>
    <w:rsid w:val="006C6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22"/>
  </w:style>
  <w:style w:type="paragraph" w:styleId="Footer">
    <w:name w:val="footer"/>
    <w:basedOn w:val="Normal"/>
    <w:link w:val="FooterChar"/>
    <w:uiPriority w:val="99"/>
    <w:unhideWhenUsed/>
    <w:rsid w:val="006C6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22"/>
  </w:style>
  <w:style w:type="paragraph" w:styleId="NoSpacing">
    <w:name w:val="No Spacing"/>
    <w:uiPriority w:val="1"/>
    <w:qFormat/>
    <w:rsid w:val="00513F13"/>
    <w:pPr>
      <w:spacing w:after="0" w:line="240" w:lineRule="auto"/>
    </w:pPr>
  </w:style>
  <w:style w:type="paragraph" w:styleId="ListParagraph">
    <w:name w:val="List Paragraph"/>
    <w:basedOn w:val="Normal"/>
    <w:uiPriority w:val="34"/>
    <w:qFormat/>
    <w:rsid w:val="00513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289507310">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788766852">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08831777">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1E2AB-E72F-4566-A335-8472FCF1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8</Pages>
  <Words>3389</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gazmend.hanku</dc:creator>
  <cp:keywords/>
  <dc:description/>
  <cp:lastModifiedBy>Alma Kola</cp:lastModifiedBy>
  <cp:revision>262</cp:revision>
  <cp:lastPrinted>2023-12-15T12:48:00Z</cp:lastPrinted>
  <dcterms:created xsi:type="dcterms:W3CDTF">2023-06-16T08:01:00Z</dcterms:created>
  <dcterms:modified xsi:type="dcterms:W3CDTF">2023-12-15T12:58:00Z</dcterms:modified>
</cp:coreProperties>
</file>